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4" w:type="dxa"/>
        <w:tblInd w:w="-1276" w:type="dxa"/>
        <w:tblLayout w:type="fixed"/>
        <w:tblCellMar>
          <w:left w:w="0" w:type="dxa"/>
          <w:right w:w="0" w:type="dxa"/>
        </w:tblCellMar>
        <w:tblLook w:val="0000" w:firstRow="0" w:lastRow="0" w:firstColumn="0" w:lastColumn="0" w:noHBand="0" w:noVBand="0"/>
      </w:tblPr>
      <w:tblGrid>
        <w:gridCol w:w="1276"/>
        <w:gridCol w:w="7542"/>
        <w:gridCol w:w="1700"/>
        <w:gridCol w:w="696"/>
      </w:tblGrid>
      <w:tr w:rsidR="005E7C4A" w:rsidTr="005E7C4A">
        <w:trPr>
          <w:gridAfter w:val="1"/>
          <w:wAfter w:w="696" w:type="dxa"/>
          <w:cantSplit/>
          <w:trHeight w:hRule="exact" w:val="1701"/>
        </w:trPr>
        <w:tc>
          <w:tcPr>
            <w:tcW w:w="8818" w:type="dxa"/>
            <w:gridSpan w:val="2"/>
          </w:tcPr>
          <w:p w:rsidR="005E7C4A" w:rsidRDefault="00942D4E" w:rsidP="00B12052">
            <w:pPr>
              <w:pStyle w:val="Brdtekst2"/>
            </w:pPr>
            <w:bookmarkStart w:id="0" w:name="_GoBack"/>
            <w:bookmarkEnd w:id="0"/>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390900" cy="584200"/>
                  <wp:effectExtent l="0" t="0" r="0" b="6350"/>
                  <wp:wrapSquare wrapText="bothSides"/>
                  <wp:docPr id="5" name="Picture 5" descr="logo og na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g nav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0900" cy="584200"/>
                          </a:xfrm>
                          <a:prstGeom prst="rect">
                            <a:avLst/>
                          </a:prstGeom>
                          <a:noFill/>
                          <a:ln>
                            <a:noFill/>
                          </a:ln>
                        </pic:spPr>
                      </pic:pic>
                    </a:graphicData>
                  </a:graphic>
                </wp:anchor>
              </w:drawing>
            </w:r>
          </w:p>
        </w:tc>
        <w:tc>
          <w:tcPr>
            <w:tcW w:w="1700" w:type="dxa"/>
          </w:tcPr>
          <w:p w:rsidR="005E7C4A" w:rsidRDefault="00942D4E" w:rsidP="00B12052">
            <w:pPr>
              <w:spacing w:before="240"/>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65200" cy="965200"/>
                  <wp:effectExtent l="0" t="0" r="6350" b="6350"/>
                  <wp:wrapSquare wrapText="bothSides"/>
                  <wp:docPr id="4" name="Picture 4" descr="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res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anchor>
              </w:drawing>
            </w:r>
          </w:p>
        </w:tc>
      </w:tr>
      <w:tr w:rsidR="00DB7FA7" w:rsidRPr="00B24C4B" w:rsidTr="005E7C4A">
        <w:trPr>
          <w:gridBefore w:val="1"/>
          <w:wBefore w:w="1276" w:type="dxa"/>
          <w:cantSplit/>
        </w:trPr>
        <w:tc>
          <w:tcPr>
            <w:tcW w:w="7542" w:type="dxa"/>
          </w:tcPr>
          <w:p w:rsidR="00DB7FA7" w:rsidRPr="000929BE" w:rsidRDefault="00DB7FA7" w:rsidP="00DB7FA7">
            <w:pPr>
              <w:pStyle w:val="Postnr"/>
            </w:pPr>
          </w:p>
          <w:bookmarkStart w:id="1" w:name="navn"/>
          <w:bookmarkEnd w:id="1"/>
          <w:p w:rsidR="00DB7FA7" w:rsidRPr="00B955FC" w:rsidRDefault="009E2BD1" w:rsidP="00DB7FA7">
            <w:pPr>
              <w:pStyle w:val="Postnr"/>
              <w:rPr>
                <w:lang w:val="en-US"/>
              </w:rPr>
            </w:pPr>
            <w:r>
              <w:fldChar w:fldCharType="begin"/>
            </w:r>
            <w:r w:rsidR="00A0250E">
              <w:rPr>
                <w:lang w:val="en-US"/>
              </w:rPr>
              <w:instrText>DOCPROPERTY  Person</w:instrText>
            </w:r>
            <w:r>
              <w:fldChar w:fldCharType="separate"/>
            </w:r>
            <w:r w:rsidR="00A0250E">
              <w:rPr>
                <w:lang w:val="en-US"/>
              </w:rPr>
              <w:t xml:space="preserve"> </w:t>
            </w:r>
            <w:r>
              <w:fldChar w:fldCharType="end"/>
            </w:r>
          </w:p>
          <w:p w:rsidR="00352D78" w:rsidRPr="00B955FC" w:rsidRDefault="009E2BD1" w:rsidP="00DB7FA7">
            <w:pPr>
              <w:pStyle w:val="Postnr"/>
              <w:rPr>
                <w:lang w:val="en-US"/>
              </w:rPr>
            </w:pPr>
            <w:r>
              <w:fldChar w:fldCharType="begin"/>
            </w:r>
            <w:r w:rsidR="00A0250E">
              <w:rPr>
                <w:lang w:val="en-US"/>
              </w:rPr>
              <w:instrText>DOCPROPERTY  Company</w:instrText>
            </w:r>
            <w:r>
              <w:fldChar w:fldCharType="separate"/>
            </w:r>
            <w:r w:rsidR="00A0250E">
              <w:rPr>
                <w:lang w:val="en-US"/>
              </w:rPr>
              <w:t xml:space="preserve"> </w:t>
            </w:r>
            <w:r>
              <w:fldChar w:fldCharType="end"/>
            </w:r>
          </w:p>
          <w:p w:rsidR="00352D78" w:rsidRPr="00B955FC" w:rsidRDefault="009E2BD1" w:rsidP="00DB7FA7">
            <w:pPr>
              <w:pStyle w:val="Postnr"/>
              <w:rPr>
                <w:lang w:val="en-US"/>
              </w:rPr>
            </w:pPr>
            <w:r>
              <w:fldChar w:fldCharType="begin"/>
            </w:r>
            <w:r w:rsidR="00A0250E">
              <w:rPr>
                <w:lang w:val="en-US"/>
              </w:rPr>
              <w:instrText>DOCPROPERTY  Street</w:instrText>
            </w:r>
            <w:r>
              <w:fldChar w:fldCharType="separate"/>
            </w:r>
            <w:r w:rsidR="00A0250E">
              <w:rPr>
                <w:lang w:val="en-US"/>
              </w:rPr>
              <w:t xml:space="preserve"> </w:t>
            </w:r>
            <w:r>
              <w:fldChar w:fldCharType="end"/>
            </w:r>
          </w:p>
          <w:p w:rsidR="00352D78" w:rsidRPr="00352D78" w:rsidRDefault="009E2BD1" w:rsidP="00DB7FA7">
            <w:pPr>
              <w:pStyle w:val="Postnr"/>
              <w:rPr>
                <w:lang w:val="en-US"/>
              </w:rPr>
            </w:pPr>
            <w:r>
              <w:fldChar w:fldCharType="begin"/>
            </w:r>
            <w:r w:rsidR="00A0250E">
              <w:rPr>
                <w:lang w:val="en-US"/>
              </w:rPr>
              <w:instrText>DOCPROPERTY  ZIP</w:instrText>
            </w:r>
            <w:r>
              <w:fldChar w:fldCharType="separate"/>
            </w:r>
            <w:r w:rsidR="00A0250E">
              <w:rPr>
                <w:lang w:val="en-US"/>
              </w:rPr>
              <w:t xml:space="preserve"> </w:t>
            </w:r>
            <w:r>
              <w:fldChar w:fldCharType="end"/>
            </w:r>
            <w:r w:rsidR="00352D78" w:rsidRPr="00352D78">
              <w:rPr>
                <w:lang w:val="en-US"/>
              </w:rPr>
              <w:t xml:space="preserve"> </w:t>
            </w:r>
            <w:r>
              <w:rPr>
                <w:lang w:val="en-US"/>
              </w:rPr>
              <w:fldChar w:fldCharType="begin"/>
            </w:r>
            <w:r w:rsidR="00A0250E">
              <w:rPr>
                <w:lang w:val="en-US"/>
              </w:rPr>
              <w:instrText>DOCPROPERTY  City</w:instrText>
            </w:r>
            <w:r>
              <w:rPr>
                <w:lang w:val="en-US"/>
              </w:rPr>
              <w:fldChar w:fldCharType="separate"/>
            </w:r>
            <w:r w:rsidR="00A0250E">
              <w:rPr>
                <w:lang w:val="en-US"/>
              </w:rPr>
              <w:t xml:space="preserve"> </w:t>
            </w:r>
            <w:r>
              <w:rPr>
                <w:lang w:val="en-US"/>
              </w:rPr>
              <w:fldChar w:fldCharType="end"/>
            </w:r>
          </w:p>
        </w:tc>
        <w:tc>
          <w:tcPr>
            <w:tcW w:w="2396" w:type="dxa"/>
            <w:gridSpan w:val="2"/>
          </w:tcPr>
          <w:p w:rsidR="00E129A7" w:rsidRPr="003C10AD" w:rsidRDefault="0087712B" w:rsidP="00B24C4B">
            <w:pPr>
              <w:pStyle w:val="Reference"/>
              <w:spacing w:line="240" w:lineRule="auto"/>
            </w:pPr>
            <w:r w:rsidRPr="003C10AD">
              <w:t>Sagsnr</w:t>
            </w:r>
            <w:r w:rsidR="00B24C4B" w:rsidRPr="003C10AD">
              <w:t xml:space="preserve">. </w:t>
            </w:r>
            <w:r w:rsidR="009E2BD1">
              <w:fldChar w:fldCharType="begin"/>
            </w:r>
            <w:r w:rsidR="00E129A7" w:rsidRPr="003C10AD">
              <w:instrText xml:space="preserve"> DOCPROPERTY  LO_Sagsnr </w:instrText>
            </w:r>
            <w:r w:rsidR="009E2BD1">
              <w:fldChar w:fldCharType="separate"/>
            </w:r>
            <w:r w:rsidR="00A0250E" w:rsidRPr="003C10AD">
              <w:t>14-689</w:t>
            </w:r>
            <w:r w:rsidR="009E2BD1">
              <w:fldChar w:fldCharType="end"/>
            </w:r>
          </w:p>
          <w:p w:rsidR="003F0140" w:rsidRPr="003C10AD" w:rsidRDefault="0087712B" w:rsidP="003F0140">
            <w:pPr>
              <w:pStyle w:val="Reference2"/>
            </w:pPr>
            <w:r w:rsidRPr="003C10AD">
              <w:t>Vores</w:t>
            </w:r>
            <w:r w:rsidR="003F0140" w:rsidRPr="003C10AD">
              <w:t xml:space="preserve"> ref. </w:t>
            </w:r>
            <w:r w:rsidR="009E2BD1" w:rsidRPr="00251520">
              <w:rPr>
                <w:rStyle w:val="Reference2Tegn"/>
              </w:rPr>
              <w:fldChar w:fldCharType="begin"/>
            </w:r>
            <w:r w:rsidR="003F0140" w:rsidRPr="003C10AD">
              <w:rPr>
                <w:rStyle w:val="Reference2Tegn"/>
              </w:rPr>
              <w:instrText xml:space="preserve"> DOCPROPERTY  DL_sAMAccountNameForeign \ *CAPITAL</w:instrText>
            </w:r>
            <w:r w:rsidR="009E2BD1" w:rsidRPr="00251520">
              <w:rPr>
                <w:rStyle w:val="Reference2Tegn"/>
              </w:rPr>
              <w:fldChar w:fldCharType="separate"/>
            </w:r>
            <w:r w:rsidR="00A0250E" w:rsidRPr="003C10AD">
              <w:rPr>
                <w:rStyle w:val="Reference2Tegn"/>
              </w:rPr>
              <w:t>MSM</w:t>
            </w:r>
            <w:r w:rsidR="009E2BD1" w:rsidRPr="00251520">
              <w:rPr>
                <w:rStyle w:val="Reference2Tegn"/>
              </w:rPr>
              <w:fldChar w:fldCharType="end"/>
            </w:r>
          </w:p>
          <w:p w:rsidR="00DB7FA7" w:rsidRPr="003C10AD" w:rsidRDefault="0004160A" w:rsidP="00E0072B">
            <w:pPr>
              <w:pStyle w:val="Fieldformat"/>
            </w:pPr>
            <w:r w:rsidRPr="003C10AD">
              <w:t xml:space="preserve">Deres </w:t>
            </w:r>
            <w:r w:rsidR="00DB7FA7" w:rsidRPr="003C10AD">
              <w:t xml:space="preserve">ref. </w:t>
            </w:r>
            <w:bookmarkStart w:id="2" w:name="deresref"/>
            <w:bookmarkEnd w:id="2"/>
          </w:p>
        </w:tc>
      </w:tr>
      <w:tr w:rsidR="00DB7FA7" w:rsidRPr="00B24C4B" w:rsidTr="005E7C4A">
        <w:trPr>
          <w:gridBefore w:val="1"/>
          <w:wBefore w:w="1276" w:type="dxa"/>
          <w:cantSplit/>
          <w:trHeight w:val="1134"/>
        </w:trPr>
        <w:tc>
          <w:tcPr>
            <w:tcW w:w="7542" w:type="dxa"/>
          </w:tcPr>
          <w:p w:rsidR="00DB7FA7" w:rsidRPr="000929BE" w:rsidRDefault="00DB7FA7" w:rsidP="00DB7FA7">
            <w:pPr>
              <w:pStyle w:val="Postnr"/>
            </w:pPr>
          </w:p>
        </w:tc>
        <w:tc>
          <w:tcPr>
            <w:tcW w:w="2396" w:type="dxa"/>
            <w:gridSpan w:val="2"/>
          </w:tcPr>
          <w:p w:rsidR="00DB7FA7" w:rsidRPr="00B24C4B" w:rsidRDefault="0087712B" w:rsidP="0023596E">
            <w:pPr>
              <w:pStyle w:val="LODato"/>
              <w:rPr>
                <w:lang w:val="en-GB"/>
              </w:rPr>
            </w:pPr>
            <w:r>
              <w:t xml:space="preserve">Den </w:t>
            </w:r>
            <w:r w:rsidR="009E2BD1">
              <w:fldChar w:fldCharType="begin"/>
            </w:r>
            <w:r>
              <w:instrText xml:space="preserve"> CREATEDATE  \@ "d. MMMM yyyy" </w:instrText>
            </w:r>
            <w:r w:rsidR="009E2BD1">
              <w:fldChar w:fldCharType="separate"/>
            </w:r>
            <w:r w:rsidR="00A0250E">
              <w:rPr>
                <w:noProof/>
              </w:rPr>
              <w:t>31. august 2014</w:t>
            </w:r>
            <w:r w:rsidR="009E2BD1">
              <w:fldChar w:fldCharType="end"/>
            </w:r>
          </w:p>
        </w:tc>
      </w:tr>
    </w:tbl>
    <w:p w:rsidR="005918F0" w:rsidRDefault="00A0250E" w:rsidP="001B2796">
      <w:pPr>
        <w:pStyle w:val="Overskrift1"/>
      </w:pPr>
      <w:bookmarkStart w:id="3" w:name="DLBeginDocument"/>
      <w:bookmarkEnd w:id="3"/>
      <w:r>
        <w:t>Høringssvar fra LO vedrørende</w:t>
      </w:r>
      <w:r w:rsidRPr="00A0250E">
        <w:t xml:space="preserve"> </w:t>
      </w:r>
      <w:r w:rsidR="006E65DE" w:rsidRPr="006E65DE">
        <w:t>Høring over udkast til bekendtgørelse om erhvervsuddannelser (hovedbekendtgørelsen)</w:t>
      </w:r>
    </w:p>
    <w:p w:rsidR="006E65DE" w:rsidRDefault="006E65DE" w:rsidP="006E65DE">
      <w:pPr>
        <w:pStyle w:val="Brdtekst"/>
      </w:pPr>
      <w:r>
        <w:t>LO kvitterer for modtagelsen af udkastet til hovedbekendtgørelse. Vi konstaterer</w:t>
      </w:r>
      <w:r w:rsidR="001B2796">
        <w:t>,</w:t>
      </w:r>
      <w:r>
        <w:t xml:space="preserve"> at der fra ministeriet er givet en meget kort høringsfrist i forhold til bekendtgørelsens omfang og betydning. Dette giver en betydelig risiko for uhensigtsmæssigheder og modsigelser i regelsættet. Derfor er det LO’s opfattelse at den samlede bekendtgø</w:t>
      </w:r>
      <w:r w:rsidR="004C415E">
        <w:t>-</w:t>
      </w:r>
      <w:r>
        <w:t>relse må gøres til genstand for en revurdering senest i foråret 2015.</w:t>
      </w:r>
    </w:p>
    <w:p w:rsidR="006E65DE" w:rsidRDefault="006E65DE" w:rsidP="006E65DE">
      <w:pPr>
        <w:pStyle w:val="Brdtekst"/>
      </w:pPr>
      <w:r>
        <w:t xml:space="preserve">Generelt opfatter LO forslagene til ændringer i bekendtgørelsen som en passende implementering af den politiske aftale. Der er </w:t>
      </w:r>
      <w:r w:rsidR="00561EF4">
        <w:t>dog</w:t>
      </w:r>
      <w:r>
        <w:t xml:space="preserve"> visse områder</w:t>
      </w:r>
      <w:r w:rsidR="001B2796">
        <w:t>,</w:t>
      </w:r>
      <w:r>
        <w:t xml:space="preserve"> hvor vi ønsker præciseringer og/eller ændringer.</w:t>
      </w:r>
    </w:p>
    <w:p w:rsidR="006E65DE" w:rsidRDefault="006E65DE" w:rsidP="006E65DE">
      <w:pPr>
        <w:pStyle w:val="Overskrift2"/>
      </w:pPr>
      <w:r>
        <w:t>Grundforløbets del 2 og grundforløbsprøven</w:t>
      </w:r>
    </w:p>
    <w:p w:rsidR="006E65DE" w:rsidRDefault="006E65DE" w:rsidP="006E65DE">
      <w:pPr>
        <w:pStyle w:val="Brdtekst"/>
      </w:pPr>
      <w:r>
        <w:t>Et centralt element i reformen er</w:t>
      </w:r>
      <w:r w:rsidR="001B2796">
        <w:t>,</w:t>
      </w:r>
      <w:r>
        <w:t xml:space="preserve"> at kvaliteten i erhvervsuddannelserne skal løftes. Et vigtigt element i dette er</w:t>
      </w:r>
      <w:r w:rsidR="001B2796">
        <w:t>,</w:t>
      </w:r>
      <w:r>
        <w:t xml:space="preserve"> at grundforløbet er omlagt</w:t>
      </w:r>
      <w:r w:rsidR="004C415E">
        <w:t>,</w:t>
      </w:r>
      <w:r>
        <w:t xml:space="preserve"> så del 2 er specifikt målrettet et bestemt hovedforløb. Dette skal sikre, at eleverne har et fagligt niveau, der giver dem bedre mulighed for at få en praktikplads og samtidig være grundlag for, at der kan nås højere niveauer i hovedforløbet. Det er LO’s opfattelse</w:t>
      </w:r>
      <w:r w:rsidR="008B1BF2">
        <w:t>,</w:t>
      </w:r>
      <w:r>
        <w:t xml:space="preserve"> at dette bør fremgå af bekendtgørelsen LO har følgende konkrete bemærkninger til de enkelte ændringer:</w:t>
      </w:r>
    </w:p>
    <w:p w:rsidR="008B1BF2" w:rsidRDefault="006E65DE" w:rsidP="008B1BF2">
      <w:pPr>
        <w:pStyle w:val="Brdtekst"/>
      </w:pPr>
      <w:r w:rsidRPr="00990A81">
        <w:t>§</w:t>
      </w:r>
      <w:r w:rsidR="004C415E">
        <w:t xml:space="preserve"> </w:t>
      </w:r>
      <w:r w:rsidRPr="00990A81">
        <w:t>21 stk</w:t>
      </w:r>
      <w:r w:rsidR="008B1BF2">
        <w:t xml:space="preserve">. </w:t>
      </w:r>
      <w:r w:rsidRPr="00990A81">
        <w:t>1</w:t>
      </w:r>
      <w:r>
        <w:t>: Her bør det præciseres</w:t>
      </w:r>
      <w:r w:rsidR="008B1BF2">
        <w:t>,</w:t>
      </w:r>
      <w:r>
        <w:t xml:space="preserve"> at u</w:t>
      </w:r>
      <w:r w:rsidRPr="00990A81">
        <w:t xml:space="preserve">ndervisningen </w:t>
      </w:r>
      <w:r>
        <w:t xml:space="preserve">også </w:t>
      </w:r>
      <w:r w:rsidRPr="00990A81">
        <w:t>skal give eleverne faglige og personlige forudsætninger for at få en praktikplads</w:t>
      </w:r>
      <w:r>
        <w:t xml:space="preserve"> inden</w:t>
      </w:r>
      <w:r w:rsidR="008B1BF2">
        <w:t xml:space="preserve"> </w:t>
      </w:r>
      <w:r>
        <w:t>for de hovedforløb</w:t>
      </w:r>
      <w:r w:rsidR="004C415E">
        <w:t>,</w:t>
      </w:r>
      <w:r>
        <w:t xml:space="preserve"> grundforløbet retter sig imod</w:t>
      </w:r>
      <w:r w:rsidRPr="00990A81">
        <w:t>.</w:t>
      </w:r>
    </w:p>
    <w:p w:rsidR="006E65DE" w:rsidRPr="004E70F7" w:rsidRDefault="008B1BF2" w:rsidP="008B1BF2">
      <w:pPr>
        <w:pStyle w:val="Brdtekst"/>
      </w:pPr>
      <w:r>
        <w:t>LO anser det som en svækkelse, a</w:t>
      </w:r>
      <w:r w:rsidR="006E65DE">
        <w:t xml:space="preserve">t grundforløbsprøven </w:t>
      </w:r>
      <w:r w:rsidR="006F7FAB">
        <w:t xml:space="preserve">inden for en række fag </w:t>
      </w:r>
      <w:r w:rsidR="006E65DE">
        <w:t xml:space="preserve">fastsættes </w:t>
      </w:r>
      <w:r w:rsidR="006F7FAB">
        <w:t>til at kunne vare fra ½-7 timer</w:t>
      </w:r>
      <w:r w:rsidR="006E65DE">
        <w:t xml:space="preserve">. Denne tidsramme er alt for snæver til at eleven kan præstere et praktisk produkt, der kan danne grundlag for en vurdering af elevens faglige egnethed. 7 timer vil ikke kunne give et retvisende billede af, om eleven har forståelse for de grundlæggende konstruktioner og arbejdsmetoder, der anvendes i uddannelsen og vil kun omfatte ganske få af de kompetencer, som er overgangskrav </w:t>
      </w:r>
      <w:r w:rsidR="00AF5019">
        <w:t>til hovedforløbet</w:t>
      </w:r>
      <w:r w:rsidR="006F7FAB">
        <w:t xml:space="preserve">. Der er en fare for, </w:t>
      </w:r>
      <w:r w:rsidR="006E65DE">
        <w:t xml:space="preserve">at det vil blive en ren teoriopgave uden tid til en praktisk opgave. Der er ligeledes en risiko for, at en sådan prøve vil </w:t>
      </w:r>
      <w:r w:rsidR="006E65DE">
        <w:lastRenderedPageBreak/>
        <w:t xml:space="preserve">favorisere de elever, der er gode til både mundtlig og skriftlig kommunikation på bekostning af de </w:t>
      </w:r>
      <w:r w:rsidR="006E65DE" w:rsidRPr="004E70F7">
        <w:t>elever, som er fagligt dygtige håndværkere.</w:t>
      </w:r>
      <w:r w:rsidR="006E65DE">
        <w:t xml:space="preserve"> En længerevarende prøve kunne fx organiseres med inspiration fra eksamensprojektet i htx.</w:t>
      </w:r>
    </w:p>
    <w:p w:rsidR="006E65DE" w:rsidRPr="00476B59" w:rsidRDefault="006E65DE" w:rsidP="006E65DE">
      <w:pPr>
        <w:pStyle w:val="Brdtekst"/>
      </w:pPr>
      <w:r w:rsidRPr="004E70F7">
        <w:t>§</w:t>
      </w:r>
      <w:r w:rsidR="007E4E51">
        <w:t xml:space="preserve"> </w:t>
      </w:r>
      <w:r w:rsidRPr="004E70F7">
        <w:t>22 stk</w:t>
      </w:r>
      <w:r w:rsidR="006F7FAB">
        <w:t>.</w:t>
      </w:r>
      <w:r w:rsidRPr="004E70F7">
        <w:t xml:space="preserve"> 4</w:t>
      </w:r>
      <w:r w:rsidR="00F72865">
        <w:t>:</w:t>
      </w:r>
      <w:r w:rsidRPr="004E70F7">
        <w:t xml:space="preserve"> D</w:t>
      </w:r>
      <w:r w:rsidRPr="00476B59">
        <w:t>enne § udvides med, at hvis prøven omfatter fremstilling af et konkret produkt, kan den vare op til 2 uger.</w:t>
      </w:r>
    </w:p>
    <w:p w:rsidR="00B16F05" w:rsidRDefault="006E65DE" w:rsidP="006E65DE">
      <w:pPr>
        <w:pStyle w:val="paragraf"/>
        <w:ind w:firstLine="0"/>
        <w:rPr>
          <w:rStyle w:val="paragrafnr1"/>
          <w:rFonts w:ascii="Times New Roman" w:hAnsi="Times New Roman" w:cs="Times New Roman"/>
          <w:b w:val="0"/>
        </w:rPr>
      </w:pPr>
      <w:r w:rsidRPr="00476B59">
        <w:rPr>
          <w:rStyle w:val="paragrafnr1"/>
          <w:rFonts w:ascii="Times New Roman" w:hAnsi="Times New Roman" w:cs="Times New Roman"/>
          <w:b w:val="0"/>
        </w:rPr>
        <w:t xml:space="preserve">LO mener, at det med </w:t>
      </w:r>
      <w:r w:rsidR="00476B59">
        <w:rPr>
          <w:rStyle w:val="paragrafnr1"/>
          <w:rFonts w:ascii="Times New Roman" w:hAnsi="Times New Roman" w:cs="Times New Roman"/>
          <w:b w:val="0"/>
        </w:rPr>
        <w:t>den forøgede betydning af</w:t>
      </w:r>
      <w:r w:rsidRPr="00476B59">
        <w:rPr>
          <w:rStyle w:val="paragrafnr1"/>
          <w:rFonts w:ascii="Times New Roman" w:hAnsi="Times New Roman" w:cs="Times New Roman"/>
          <w:b w:val="0"/>
        </w:rPr>
        <w:t xml:space="preserve"> grundforløbsprøve</w:t>
      </w:r>
      <w:r w:rsidR="00476B59">
        <w:rPr>
          <w:rStyle w:val="paragrafnr1"/>
          <w:rFonts w:ascii="Times New Roman" w:hAnsi="Times New Roman" w:cs="Times New Roman"/>
          <w:b w:val="0"/>
        </w:rPr>
        <w:t>n</w:t>
      </w:r>
      <w:r w:rsidRPr="00476B59">
        <w:rPr>
          <w:rStyle w:val="paragrafnr1"/>
          <w:rFonts w:ascii="Times New Roman" w:hAnsi="Times New Roman" w:cs="Times New Roman"/>
          <w:b w:val="0"/>
        </w:rPr>
        <w:t xml:space="preserve"> er nødvendigt at sikre</w:t>
      </w:r>
      <w:r w:rsidR="005B4AC3">
        <w:rPr>
          <w:rStyle w:val="paragrafnr1"/>
          <w:rFonts w:ascii="Times New Roman" w:hAnsi="Times New Roman" w:cs="Times New Roman"/>
          <w:b w:val="0"/>
        </w:rPr>
        <w:t>,</w:t>
      </w:r>
      <w:r w:rsidRPr="00476B59">
        <w:rPr>
          <w:rStyle w:val="paragrafnr1"/>
          <w:rFonts w:ascii="Times New Roman" w:hAnsi="Times New Roman" w:cs="Times New Roman"/>
          <w:b w:val="0"/>
        </w:rPr>
        <w:t xml:space="preserve"> at elever inden</w:t>
      </w:r>
      <w:r w:rsidR="005B4AC3">
        <w:rPr>
          <w:rStyle w:val="paragrafnr1"/>
          <w:rFonts w:ascii="Times New Roman" w:hAnsi="Times New Roman" w:cs="Times New Roman"/>
          <w:b w:val="0"/>
        </w:rPr>
        <w:t xml:space="preserve"> </w:t>
      </w:r>
      <w:r w:rsidRPr="00476B59">
        <w:rPr>
          <w:rStyle w:val="paragrafnr1"/>
          <w:rFonts w:ascii="Times New Roman" w:hAnsi="Times New Roman" w:cs="Times New Roman"/>
          <w:b w:val="0"/>
        </w:rPr>
        <w:t>for samme uddannelse prøves på samme niveau og i de samme kompetencer. Det vil være en t</w:t>
      </w:r>
      <w:r w:rsidR="005B4AC3">
        <w:rPr>
          <w:rStyle w:val="paragrafnr1"/>
          <w:rFonts w:ascii="Times New Roman" w:hAnsi="Times New Roman" w:cs="Times New Roman"/>
          <w:b w:val="0"/>
        </w:rPr>
        <w:t>russel mod uddannelsernes genere</w:t>
      </w:r>
      <w:r w:rsidRPr="00476B59">
        <w:rPr>
          <w:rStyle w:val="paragrafnr1"/>
          <w:rFonts w:ascii="Times New Roman" w:hAnsi="Times New Roman" w:cs="Times New Roman"/>
          <w:b w:val="0"/>
        </w:rPr>
        <w:t>lle kvalitet, hvis der er skoler</w:t>
      </w:r>
      <w:r w:rsidR="005B4AC3">
        <w:rPr>
          <w:rStyle w:val="paragrafnr1"/>
          <w:rFonts w:ascii="Times New Roman" w:hAnsi="Times New Roman" w:cs="Times New Roman"/>
          <w:b w:val="0"/>
        </w:rPr>
        <w:t>,</w:t>
      </w:r>
      <w:r w:rsidRPr="00476B59">
        <w:rPr>
          <w:rStyle w:val="paragrafnr1"/>
          <w:rFonts w:ascii="Times New Roman" w:hAnsi="Times New Roman" w:cs="Times New Roman"/>
          <w:b w:val="0"/>
        </w:rPr>
        <w:t xml:space="preserve"> der stille</w:t>
      </w:r>
      <w:r w:rsidR="005B4AC3">
        <w:rPr>
          <w:rStyle w:val="paragrafnr1"/>
          <w:rFonts w:ascii="Times New Roman" w:hAnsi="Times New Roman" w:cs="Times New Roman"/>
          <w:b w:val="0"/>
        </w:rPr>
        <w:t>r</w:t>
      </w:r>
      <w:r w:rsidRPr="00476B59">
        <w:rPr>
          <w:rStyle w:val="paragrafnr1"/>
          <w:rFonts w:ascii="Times New Roman" w:hAnsi="Times New Roman" w:cs="Times New Roman"/>
          <w:b w:val="0"/>
        </w:rPr>
        <w:t xml:space="preserve"> høje faglige krav, mens der er andre</w:t>
      </w:r>
      <w:r w:rsidR="005B4AC3">
        <w:rPr>
          <w:rStyle w:val="paragrafnr1"/>
          <w:rFonts w:ascii="Times New Roman" w:hAnsi="Times New Roman" w:cs="Times New Roman"/>
          <w:b w:val="0"/>
        </w:rPr>
        <w:t>,</w:t>
      </w:r>
      <w:r w:rsidRPr="00476B59">
        <w:rPr>
          <w:rStyle w:val="paragrafnr1"/>
          <w:rFonts w:ascii="Times New Roman" w:hAnsi="Times New Roman" w:cs="Times New Roman"/>
          <w:b w:val="0"/>
        </w:rPr>
        <w:t xml:space="preserve"> hvor kravene er væsentligt lavere. Eksamensbekendtgørelsen for erhvervsuddannelsernes</w:t>
      </w:r>
      <w:r w:rsidR="00BB663B" w:rsidRPr="00476B59">
        <w:rPr>
          <w:rStyle w:val="paragrafnr1"/>
          <w:rFonts w:ascii="Times New Roman" w:hAnsi="Times New Roman" w:cs="Times New Roman"/>
          <w:b w:val="0"/>
        </w:rPr>
        <w:t xml:space="preserve"> </w:t>
      </w:r>
      <w:r w:rsidR="00BB663B">
        <w:rPr>
          <w:rStyle w:val="paragrafnr1"/>
          <w:rFonts w:ascii="Times New Roman" w:hAnsi="Times New Roman" w:cs="Times New Roman"/>
          <w:b w:val="0"/>
        </w:rPr>
        <w:t>§</w:t>
      </w:r>
      <w:r w:rsidR="00BB663B" w:rsidRPr="00476B59">
        <w:rPr>
          <w:rStyle w:val="paragrafnr1"/>
          <w:rFonts w:ascii="Times New Roman" w:hAnsi="Times New Roman" w:cs="Times New Roman"/>
          <w:b w:val="0"/>
        </w:rPr>
        <w:t xml:space="preserve"> 2</w:t>
      </w:r>
      <w:r w:rsidRPr="00476B59">
        <w:rPr>
          <w:rStyle w:val="paragrafnr1"/>
          <w:rFonts w:ascii="Times New Roman" w:hAnsi="Times New Roman" w:cs="Times New Roman"/>
          <w:b w:val="0"/>
        </w:rPr>
        <w:t xml:space="preserve"> giver mulighed for</w:t>
      </w:r>
      <w:r w:rsidR="005B4AC3">
        <w:rPr>
          <w:rStyle w:val="paragrafnr1"/>
          <w:rFonts w:ascii="Times New Roman" w:hAnsi="Times New Roman" w:cs="Times New Roman"/>
          <w:b w:val="0"/>
        </w:rPr>
        <w:t>,</w:t>
      </w:r>
      <w:r w:rsidRPr="00476B59">
        <w:rPr>
          <w:rStyle w:val="paragrafnr1"/>
          <w:rFonts w:ascii="Times New Roman" w:hAnsi="Times New Roman" w:cs="Times New Roman"/>
          <w:b w:val="0"/>
        </w:rPr>
        <w:t xml:space="preserve"> at bekendtgørelserne kan fastlægge</w:t>
      </w:r>
      <w:r w:rsidR="005B4AC3">
        <w:rPr>
          <w:rStyle w:val="paragrafnr1"/>
          <w:rFonts w:ascii="Times New Roman" w:hAnsi="Times New Roman" w:cs="Times New Roman"/>
          <w:b w:val="0"/>
        </w:rPr>
        <w:t>,</w:t>
      </w:r>
      <w:r w:rsidRPr="00476B59">
        <w:rPr>
          <w:rStyle w:val="paragrafnr1"/>
          <w:rFonts w:ascii="Times New Roman" w:hAnsi="Times New Roman" w:cs="Times New Roman"/>
          <w:b w:val="0"/>
        </w:rPr>
        <w:t xml:space="preserve"> at det ikke er skolen</w:t>
      </w:r>
      <w:r w:rsidR="005B4AC3">
        <w:rPr>
          <w:rStyle w:val="paragrafnr1"/>
          <w:rFonts w:ascii="Times New Roman" w:hAnsi="Times New Roman" w:cs="Times New Roman"/>
          <w:b w:val="0"/>
        </w:rPr>
        <w:t>,</w:t>
      </w:r>
      <w:r w:rsidRPr="00476B59">
        <w:rPr>
          <w:rStyle w:val="paragrafnr1"/>
          <w:rFonts w:ascii="Times New Roman" w:hAnsi="Times New Roman" w:cs="Times New Roman"/>
          <w:b w:val="0"/>
        </w:rPr>
        <w:t xml:space="preserve"> der udsteder opgaven</w:t>
      </w:r>
      <w:r w:rsidR="005B4AC3">
        <w:rPr>
          <w:rStyle w:val="paragrafnr1"/>
          <w:rFonts w:ascii="Times New Roman" w:hAnsi="Times New Roman" w:cs="Times New Roman"/>
          <w:b w:val="0"/>
        </w:rPr>
        <w:t>,</w:t>
      </w:r>
      <w:r w:rsidRPr="00476B59">
        <w:rPr>
          <w:rStyle w:val="paragrafnr1"/>
          <w:rFonts w:ascii="Times New Roman" w:hAnsi="Times New Roman" w:cs="Times New Roman"/>
          <w:b w:val="0"/>
        </w:rPr>
        <w:t xml:space="preserve"> eller at skoler</w:t>
      </w:r>
      <w:r w:rsidR="005B4AC3">
        <w:rPr>
          <w:rStyle w:val="paragrafnr1"/>
          <w:rFonts w:ascii="Times New Roman" w:hAnsi="Times New Roman" w:cs="Times New Roman"/>
          <w:b w:val="0"/>
        </w:rPr>
        <w:t>,</w:t>
      </w:r>
      <w:r w:rsidRPr="00476B59">
        <w:rPr>
          <w:rStyle w:val="paragrafnr1"/>
          <w:rFonts w:ascii="Times New Roman" w:hAnsi="Times New Roman" w:cs="Times New Roman"/>
          <w:b w:val="0"/>
        </w:rPr>
        <w:t xml:space="preserve"> der udbyder samme uddannelse</w:t>
      </w:r>
      <w:r w:rsidR="005B4AC3">
        <w:rPr>
          <w:rStyle w:val="paragrafnr1"/>
          <w:rFonts w:ascii="Times New Roman" w:hAnsi="Times New Roman" w:cs="Times New Roman"/>
          <w:b w:val="0"/>
        </w:rPr>
        <w:t>,</w:t>
      </w:r>
      <w:r w:rsidR="00B16F05">
        <w:rPr>
          <w:rStyle w:val="paragrafnr1"/>
          <w:rFonts w:ascii="Times New Roman" w:hAnsi="Times New Roman" w:cs="Times New Roman"/>
          <w:b w:val="0"/>
        </w:rPr>
        <w:t xml:space="preserve"> stiller samme opgave.</w:t>
      </w:r>
    </w:p>
    <w:p w:rsidR="006E65DE" w:rsidRPr="00476B59" w:rsidRDefault="006E65DE" w:rsidP="006E65DE">
      <w:pPr>
        <w:pStyle w:val="paragraf"/>
        <w:ind w:firstLine="0"/>
        <w:rPr>
          <w:rStyle w:val="paragrafnr1"/>
          <w:rFonts w:ascii="Times New Roman" w:hAnsi="Times New Roman" w:cs="Times New Roman"/>
          <w:b w:val="0"/>
          <w:bCs w:val="0"/>
        </w:rPr>
      </w:pPr>
      <w:r w:rsidRPr="00476B59">
        <w:rPr>
          <w:rStyle w:val="paragrafnr1"/>
          <w:rFonts w:ascii="Times New Roman" w:hAnsi="Times New Roman" w:cs="Times New Roman"/>
          <w:b w:val="0"/>
        </w:rPr>
        <w:t>På denne baggrund foreslår LO</w:t>
      </w:r>
      <w:r w:rsidR="005B4AC3">
        <w:rPr>
          <w:rStyle w:val="paragrafnr1"/>
          <w:rFonts w:ascii="Times New Roman" w:hAnsi="Times New Roman" w:cs="Times New Roman"/>
          <w:b w:val="0"/>
        </w:rPr>
        <w:t>,</w:t>
      </w:r>
      <w:r w:rsidRPr="00476B59">
        <w:rPr>
          <w:rStyle w:val="paragrafnr1"/>
          <w:rFonts w:ascii="Times New Roman" w:hAnsi="Times New Roman" w:cs="Times New Roman"/>
          <w:b w:val="0"/>
        </w:rPr>
        <w:t xml:space="preserve"> at der findes en form, hvorefter det kan sikres, at grundforløbsprøverne på skoler</w:t>
      </w:r>
      <w:r w:rsidR="005B4AC3">
        <w:rPr>
          <w:rStyle w:val="paragrafnr1"/>
          <w:rFonts w:ascii="Times New Roman" w:hAnsi="Times New Roman" w:cs="Times New Roman"/>
          <w:b w:val="0"/>
        </w:rPr>
        <w:t>,</w:t>
      </w:r>
      <w:r w:rsidRPr="00476B59">
        <w:rPr>
          <w:rStyle w:val="paragrafnr1"/>
          <w:rFonts w:ascii="Times New Roman" w:hAnsi="Times New Roman" w:cs="Times New Roman"/>
          <w:b w:val="0"/>
        </w:rPr>
        <w:t xml:space="preserve"> der udbyder samme uddannelse</w:t>
      </w:r>
      <w:r w:rsidR="005B4AC3">
        <w:rPr>
          <w:rStyle w:val="paragrafnr1"/>
          <w:rFonts w:ascii="Times New Roman" w:hAnsi="Times New Roman" w:cs="Times New Roman"/>
          <w:b w:val="0"/>
        </w:rPr>
        <w:t>,</w:t>
      </w:r>
      <w:r w:rsidRPr="00476B59">
        <w:rPr>
          <w:rStyle w:val="paragrafnr1"/>
          <w:rFonts w:ascii="Times New Roman" w:hAnsi="Times New Roman" w:cs="Times New Roman"/>
          <w:b w:val="0"/>
        </w:rPr>
        <w:t xml:space="preserve"> har samme niveau</w:t>
      </w:r>
      <w:r w:rsidR="00AF5019">
        <w:rPr>
          <w:rStyle w:val="paragrafnr1"/>
          <w:rFonts w:ascii="Times New Roman" w:hAnsi="Times New Roman" w:cs="Times New Roman"/>
          <w:b w:val="0"/>
        </w:rPr>
        <w:t xml:space="preserve"> og at prøvens indhold udarbejdes i dialog med det faglige udvalg</w:t>
      </w:r>
      <w:r w:rsidRPr="00476B59">
        <w:rPr>
          <w:rStyle w:val="paragrafnr1"/>
          <w:rFonts w:ascii="Times New Roman" w:hAnsi="Times New Roman" w:cs="Times New Roman"/>
          <w:b w:val="0"/>
        </w:rPr>
        <w:t>.</w:t>
      </w:r>
    </w:p>
    <w:p w:rsidR="006E65DE" w:rsidRPr="00FF0202" w:rsidRDefault="006E65DE" w:rsidP="006E65DE">
      <w:pPr>
        <w:pStyle w:val="paragraf"/>
        <w:ind w:firstLine="0"/>
        <w:rPr>
          <w:rFonts w:ascii="Times New Roman" w:hAnsi="Times New Roman" w:cs="Times New Roman"/>
        </w:rPr>
      </w:pPr>
      <w:r w:rsidRPr="00476B59">
        <w:rPr>
          <w:rFonts w:ascii="Times New Roman" w:hAnsi="Times New Roman" w:cs="Times New Roman"/>
        </w:rPr>
        <w:t>§</w:t>
      </w:r>
      <w:r w:rsidR="007E4E51">
        <w:rPr>
          <w:rFonts w:ascii="Times New Roman" w:hAnsi="Times New Roman" w:cs="Times New Roman"/>
        </w:rPr>
        <w:t xml:space="preserve"> </w:t>
      </w:r>
      <w:r w:rsidRPr="00476B59">
        <w:rPr>
          <w:rFonts w:ascii="Times New Roman" w:hAnsi="Times New Roman" w:cs="Times New Roman"/>
        </w:rPr>
        <w:t>22 stk. 5: De skoler</w:t>
      </w:r>
      <w:r w:rsidR="00080003">
        <w:rPr>
          <w:rFonts w:ascii="Times New Roman" w:hAnsi="Times New Roman" w:cs="Times New Roman"/>
        </w:rPr>
        <w:t>,</w:t>
      </w:r>
      <w:r w:rsidRPr="00476B59">
        <w:rPr>
          <w:rFonts w:ascii="Times New Roman" w:hAnsi="Times New Roman" w:cs="Times New Roman"/>
        </w:rPr>
        <w:t xml:space="preserve"> der udbyder grundforløbets del 2 til en bestemt uddannelse</w:t>
      </w:r>
      <w:r w:rsidR="00080003">
        <w:rPr>
          <w:rFonts w:ascii="Times New Roman" w:hAnsi="Times New Roman" w:cs="Times New Roman"/>
        </w:rPr>
        <w:t>,</w:t>
      </w:r>
      <w:r w:rsidRPr="00476B59">
        <w:rPr>
          <w:rFonts w:ascii="Times New Roman" w:hAnsi="Times New Roman" w:cs="Times New Roman"/>
        </w:rPr>
        <w:t xml:space="preserve"> skal som hovedregel stille samme opgave. Hvis enkelte skoler afviger fra dette</w:t>
      </w:r>
      <w:r w:rsidR="00080003">
        <w:rPr>
          <w:rFonts w:ascii="Times New Roman" w:hAnsi="Times New Roman" w:cs="Times New Roman"/>
        </w:rPr>
        <w:t>,</w:t>
      </w:r>
      <w:r w:rsidRPr="00476B59">
        <w:rPr>
          <w:rFonts w:ascii="Times New Roman" w:hAnsi="Times New Roman" w:cs="Times New Roman"/>
        </w:rPr>
        <w:t xml:space="preserve"> </w:t>
      </w:r>
      <w:r w:rsidR="00080003">
        <w:rPr>
          <w:rFonts w:ascii="Times New Roman" w:hAnsi="Times New Roman" w:cs="Times New Roman"/>
        </w:rPr>
        <w:t>skal</w:t>
      </w:r>
      <w:r w:rsidRPr="00476B59">
        <w:rPr>
          <w:rFonts w:ascii="Times New Roman" w:hAnsi="Times New Roman" w:cs="Times New Roman"/>
        </w:rPr>
        <w:t xml:space="preserve"> prøven godk</w:t>
      </w:r>
      <w:r w:rsidRPr="004E70F7">
        <w:rPr>
          <w:rFonts w:ascii="Times New Roman" w:hAnsi="Times New Roman" w:cs="Times New Roman"/>
        </w:rPr>
        <w:t xml:space="preserve">endes </w:t>
      </w:r>
      <w:r w:rsidRPr="00FF0202">
        <w:rPr>
          <w:rFonts w:ascii="Times New Roman" w:hAnsi="Times New Roman" w:cs="Times New Roman"/>
        </w:rPr>
        <w:t xml:space="preserve">af </w:t>
      </w:r>
      <w:r w:rsidR="007E4E51">
        <w:rPr>
          <w:rFonts w:ascii="Times New Roman" w:hAnsi="Times New Roman" w:cs="Times New Roman"/>
        </w:rPr>
        <w:t>U</w:t>
      </w:r>
      <w:r w:rsidRPr="00FF0202">
        <w:rPr>
          <w:rFonts w:ascii="Times New Roman" w:hAnsi="Times New Roman" w:cs="Times New Roman"/>
        </w:rPr>
        <w:t>ndervisningsministeriet og det faglige udvalg skal orienteres.</w:t>
      </w:r>
    </w:p>
    <w:p w:rsidR="006E65DE" w:rsidRPr="00FF0202" w:rsidRDefault="006E65DE" w:rsidP="006E65DE">
      <w:pPr>
        <w:pStyle w:val="paragraf"/>
        <w:ind w:firstLine="0"/>
        <w:rPr>
          <w:rFonts w:ascii="Times New Roman" w:hAnsi="Times New Roman" w:cs="Times New Roman"/>
        </w:rPr>
      </w:pPr>
      <w:r w:rsidRPr="00FF0202">
        <w:rPr>
          <w:rFonts w:ascii="Times New Roman" w:hAnsi="Times New Roman" w:cs="Times New Roman"/>
        </w:rPr>
        <w:t>§</w:t>
      </w:r>
      <w:r w:rsidR="007E4E51">
        <w:rPr>
          <w:rFonts w:ascii="Times New Roman" w:hAnsi="Times New Roman" w:cs="Times New Roman"/>
        </w:rPr>
        <w:t xml:space="preserve"> </w:t>
      </w:r>
      <w:r w:rsidRPr="00FF0202">
        <w:rPr>
          <w:rFonts w:ascii="Times New Roman" w:hAnsi="Times New Roman" w:cs="Times New Roman"/>
        </w:rPr>
        <w:t>22 stk</w:t>
      </w:r>
      <w:r w:rsidR="00476B59">
        <w:rPr>
          <w:rFonts w:ascii="Times New Roman" w:hAnsi="Times New Roman" w:cs="Times New Roman"/>
        </w:rPr>
        <w:t>.</w:t>
      </w:r>
      <w:r w:rsidRPr="00FF0202">
        <w:rPr>
          <w:rFonts w:ascii="Times New Roman" w:hAnsi="Times New Roman" w:cs="Times New Roman"/>
        </w:rPr>
        <w:t xml:space="preserve"> 6</w:t>
      </w:r>
      <w:r w:rsidR="00F72865">
        <w:rPr>
          <w:rFonts w:ascii="Times New Roman" w:hAnsi="Times New Roman" w:cs="Times New Roman"/>
        </w:rPr>
        <w:t>:</w:t>
      </w:r>
      <w:r w:rsidRPr="00FF0202">
        <w:rPr>
          <w:rFonts w:ascii="Times New Roman" w:hAnsi="Times New Roman" w:cs="Times New Roman"/>
        </w:rPr>
        <w:t xml:space="preserve"> Formuleringen ”sender opgaven ” ændres til ”sender den stillede opgave</w:t>
      </w:r>
      <w:r w:rsidR="00AF5019">
        <w:rPr>
          <w:rFonts w:ascii="Times New Roman" w:hAnsi="Times New Roman" w:cs="Times New Roman"/>
        </w:rPr>
        <w:t xml:space="preserve"> til det faglige udvalg 2 uger før prøveafholdelsen</w:t>
      </w:r>
      <w:r w:rsidRPr="00FF0202">
        <w:rPr>
          <w:rFonts w:ascii="Times New Roman" w:hAnsi="Times New Roman" w:cs="Times New Roman"/>
        </w:rPr>
        <w:t>”</w:t>
      </w:r>
      <w:r w:rsidR="00AF5019">
        <w:rPr>
          <w:rFonts w:ascii="Times New Roman" w:hAnsi="Times New Roman" w:cs="Times New Roman"/>
        </w:rPr>
        <w:t>.</w:t>
      </w:r>
      <w:r>
        <w:rPr>
          <w:rFonts w:ascii="Times New Roman" w:hAnsi="Times New Roman" w:cs="Times New Roman"/>
        </w:rPr>
        <w:t xml:space="preserve"> </w:t>
      </w:r>
    </w:p>
    <w:p w:rsidR="006E65DE" w:rsidRPr="00FF0202" w:rsidRDefault="006E65DE" w:rsidP="006E65DE">
      <w:pPr>
        <w:pStyle w:val="Brdtekst"/>
      </w:pPr>
      <w:r w:rsidRPr="00FF0202">
        <w:t>§</w:t>
      </w:r>
      <w:r w:rsidR="00635F1B">
        <w:t xml:space="preserve"> </w:t>
      </w:r>
      <w:r w:rsidRPr="00FF0202">
        <w:t>23: Der tilføjes</w:t>
      </w:r>
      <w:r w:rsidR="00080003">
        <w:t>,</w:t>
      </w:r>
      <w:r w:rsidRPr="00FF0202">
        <w:t xml:space="preserve"> at hovedforløbsskolerne skal godkende, at undervisningen og grundforløbsprøven kan danne grundlag for optagelse til skoleundervisning på hovedforløbet.</w:t>
      </w:r>
    </w:p>
    <w:p w:rsidR="006E65DE" w:rsidRPr="004E70F7" w:rsidRDefault="006E65DE" w:rsidP="006E65DE">
      <w:pPr>
        <w:pStyle w:val="Brdtekst"/>
      </w:pPr>
      <w:r w:rsidRPr="004E70F7">
        <w:t>Grundforløbets del 2 er ligeledes den direkte indgang til en erhvervsuddannelse for alle</w:t>
      </w:r>
      <w:r w:rsidR="00080003">
        <w:t>,</w:t>
      </w:r>
      <w:r w:rsidRPr="004E70F7">
        <w:t xml:space="preserve"> der ikke kommer direkte fra folkeskolen. Da grundforløbets del 2 er specifikt målrettet en uddannelse</w:t>
      </w:r>
      <w:r w:rsidR="00635F1B">
        <w:t>,</w:t>
      </w:r>
      <w:r w:rsidRPr="004E70F7">
        <w:t xml:space="preserve"> er der en ekstra forpligtelse for skolerne til at vejlede elever både inden de begynder og i forbindelse med den indledende realkompetence</w:t>
      </w:r>
      <w:r w:rsidR="00B10256">
        <w:t>-</w:t>
      </w:r>
      <w:r w:rsidRPr="004E70F7">
        <w:t>vurdering. Dette bør</w:t>
      </w:r>
      <w:r>
        <w:t xml:space="preserve"> præciseres i bekendtgørelsen.</w:t>
      </w:r>
    </w:p>
    <w:p w:rsidR="006E65DE" w:rsidRDefault="006E65DE" w:rsidP="006E65DE">
      <w:pPr>
        <w:pStyle w:val="Overskrift2"/>
      </w:pPr>
      <w:r>
        <w:t>Talentspor og højniveaufag</w:t>
      </w:r>
    </w:p>
    <w:p w:rsidR="005808BC" w:rsidRPr="00C85A68" w:rsidRDefault="006E65DE" w:rsidP="00C85A68">
      <w:pPr>
        <w:pStyle w:val="Brdtekst"/>
      </w:pPr>
      <w:r>
        <w:t>Sikringen af</w:t>
      </w:r>
      <w:r w:rsidR="00B10256">
        <w:t xml:space="preserve">, </w:t>
      </w:r>
      <w:r>
        <w:t>at alle elever udfordres til at nå fagligt så høje niveauer</w:t>
      </w:r>
      <w:r w:rsidR="00B10256">
        <w:t>,</w:t>
      </w:r>
      <w:r w:rsidR="00C85A68">
        <w:t xml:space="preserve"> som deres</w:t>
      </w:r>
      <w:r>
        <w:t xml:space="preserve"> lyst og evner rækker til</w:t>
      </w:r>
      <w:r w:rsidR="00B10256">
        <w:t>,</w:t>
      </w:r>
      <w:r>
        <w:t xml:space="preserve"> er en vigtig del af reformen. Det er for LO vigtigt at fasthold</w:t>
      </w:r>
      <w:r w:rsidR="00B10256">
        <w:t>e</w:t>
      </w:r>
      <w:r>
        <w:t>, at dette ikke først og fremmest drejer sig om at nå niveauer, der giver mulighed for at fortsætte på videregående uddannelse, men drejer sig om at nå det højst mulige niveau inden</w:t>
      </w:r>
      <w:r w:rsidR="00B10256">
        <w:t xml:space="preserve"> </w:t>
      </w:r>
      <w:r>
        <w:t>for fagets kernefaglighed. Samtidig ser vi en fare for, at det sker en devaluering af betydningen af højniveaufag og talentspor, da alle af markedsførings</w:t>
      </w:r>
      <w:r w:rsidR="00B10256">
        <w:t>-</w:t>
      </w:r>
      <w:r>
        <w:t>mæssige grund</w:t>
      </w:r>
      <w:r w:rsidR="00B10256">
        <w:t>e</w:t>
      </w:r>
      <w:r>
        <w:t xml:space="preserve"> gerne vil have et sådant, men måske ikke i alle tilfælde kan levere </w:t>
      </w:r>
      <w:r w:rsidRPr="00C85A68">
        <w:t>det nødvendige niveau.</w:t>
      </w:r>
    </w:p>
    <w:p w:rsidR="005808BC" w:rsidRPr="00C85A68" w:rsidRDefault="005808BC" w:rsidP="00C85A68">
      <w:pPr>
        <w:pStyle w:val="Brdtekst"/>
      </w:pPr>
      <w:r w:rsidRPr="00C85A68">
        <w:rPr>
          <w:bCs/>
        </w:rPr>
        <w:t xml:space="preserve">I udkastet til hovedbekendtgørelse bliver talentsporet defineret ved, at 25 pct. af skoleundervisningen i hovedforløbet foregår på højere niveau, end det obligatoriske. Det er de faglige udvalg, der fastlægger </w:t>
      </w:r>
      <w:r w:rsidR="0022090C">
        <w:rPr>
          <w:bCs/>
        </w:rPr>
        <w:t xml:space="preserve">både </w:t>
      </w:r>
      <w:r w:rsidRPr="00C85A68">
        <w:rPr>
          <w:bCs/>
        </w:rPr>
        <w:t xml:space="preserve">det obligatoriske niveau af </w:t>
      </w:r>
      <w:r w:rsidRPr="00C85A68">
        <w:rPr>
          <w:bCs/>
        </w:rPr>
        <w:lastRenderedPageBreak/>
        <w:t xml:space="preserve">skoleundervisningen og hvilken del af undervisningen, der </w:t>
      </w:r>
      <w:r w:rsidR="00D03FC7">
        <w:rPr>
          <w:bCs/>
        </w:rPr>
        <w:t xml:space="preserve">skal </w:t>
      </w:r>
      <w:r w:rsidRPr="00C85A68">
        <w:rPr>
          <w:bCs/>
        </w:rPr>
        <w:t xml:space="preserve">foregå på et højere niveau i talentsporet. </w:t>
      </w:r>
    </w:p>
    <w:p w:rsidR="005808BC" w:rsidRPr="00C85A68" w:rsidRDefault="005808BC" w:rsidP="00C85A68">
      <w:pPr>
        <w:pStyle w:val="Brdtekst"/>
      </w:pPr>
      <w:r w:rsidRPr="00C85A68">
        <w:rPr>
          <w:bCs/>
        </w:rPr>
        <w:t> </w:t>
      </w:r>
    </w:p>
    <w:p w:rsidR="005808BC" w:rsidRPr="00C85A68" w:rsidRDefault="00C67BB7" w:rsidP="00C85A68">
      <w:pPr>
        <w:pStyle w:val="Brdtekst"/>
      </w:pPr>
      <w:r w:rsidRPr="00C85A68">
        <w:rPr>
          <w:bCs/>
        </w:rPr>
        <w:t>LO</w:t>
      </w:r>
      <w:r w:rsidR="005808BC" w:rsidRPr="00C85A68">
        <w:rPr>
          <w:bCs/>
        </w:rPr>
        <w:t xml:space="preserve"> kan </w:t>
      </w:r>
      <w:r w:rsidR="00D03FC7">
        <w:rPr>
          <w:bCs/>
        </w:rPr>
        <w:t xml:space="preserve">på denne baggrund </w:t>
      </w:r>
      <w:r w:rsidR="005808BC" w:rsidRPr="00C85A68">
        <w:rPr>
          <w:bCs/>
        </w:rPr>
        <w:t xml:space="preserve">ikke </w:t>
      </w:r>
      <w:r w:rsidR="00742332" w:rsidRPr="00C85A68">
        <w:rPr>
          <w:bCs/>
        </w:rPr>
        <w:t>umiddelbart</w:t>
      </w:r>
      <w:r w:rsidR="005808BC" w:rsidRPr="00C85A68">
        <w:rPr>
          <w:bCs/>
        </w:rPr>
        <w:t xml:space="preserve"> tilslutte sig, at minimumskravet fastsættes til 25 pct., men ønsker en dialog med ministeriet for at afklare, om minimumskravet bør sættes højere. Det</w:t>
      </w:r>
      <w:r w:rsidR="00742332" w:rsidRPr="00C85A68">
        <w:rPr>
          <w:bCs/>
        </w:rPr>
        <w:t>te</w:t>
      </w:r>
      <w:r w:rsidR="005808BC" w:rsidRPr="00C85A68">
        <w:rPr>
          <w:bCs/>
        </w:rPr>
        <w:t xml:space="preserve"> afhænger </w:t>
      </w:r>
      <w:r w:rsidR="00742332" w:rsidRPr="00C85A68">
        <w:rPr>
          <w:bCs/>
        </w:rPr>
        <w:t xml:space="preserve">af, hvordan </w:t>
      </w:r>
      <w:r w:rsidR="005808BC" w:rsidRPr="00C85A68">
        <w:rPr>
          <w:bCs/>
        </w:rPr>
        <w:t xml:space="preserve">ministeriet og </w:t>
      </w:r>
      <w:r w:rsidR="00742332" w:rsidRPr="00C85A68">
        <w:rPr>
          <w:bCs/>
        </w:rPr>
        <w:t xml:space="preserve">arbejdsmarkedets </w:t>
      </w:r>
      <w:r w:rsidR="005808BC" w:rsidRPr="00C85A68">
        <w:rPr>
          <w:bCs/>
        </w:rPr>
        <w:t xml:space="preserve">parter når frem til at definere et højere </w:t>
      </w:r>
      <w:r w:rsidR="00D03FC7">
        <w:rPr>
          <w:bCs/>
        </w:rPr>
        <w:t xml:space="preserve">niveau end det obligatoriske. </w:t>
      </w:r>
      <w:r w:rsidR="005808BC" w:rsidRPr="00C85A68">
        <w:rPr>
          <w:bCs/>
        </w:rPr>
        <w:t xml:space="preserve">Det er </w:t>
      </w:r>
      <w:r w:rsidRPr="00C85A68">
        <w:rPr>
          <w:bCs/>
        </w:rPr>
        <w:t>LO’s mål</w:t>
      </w:r>
      <w:r w:rsidR="005808BC" w:rsidRPr="00C85A68">
        <w:rPr>
          <w:bCs/>
        </w:rPr>
        <w:t xml:space="preserve">, at talentsporet med udgangspunkt i den enkelte uddannelses kernefaglighed skal være et særligt stærkt ”varemærke”. </w:t>
      </w:r>
    </w:p>
    <w:p w:rsidR="006E65DE" w:rsidRDefault="006E65DE" w:rsidP="00C85A68">
      <w:pPr>
        <w:pStyle w:val="Brdtekst"/>
      </w:pPr>
      <w:r w:rsidRPr="00C85A68">
        <w:t xml:space="preserve">Derfor ønsker LO </w:t>
      </w:r>
      <w:r w:rsidR="00C67BB7" w:rsidRPr="00C85A68">
        <w:t xml:space="preserve">at ministeriet i dialog med parterne laver </w:t>
      </w:r>
      <w:r w:rsidRPr="00C85A68">
        <w:t>en præcisering af, hvad</w:t>
      </w:r>
      <w:r>
        <w:t xml:space="preserve"> der</w:t>
      </w:r>
      <w:r w:rsidR="00D03FC7">
        <w:t xml:space="preserve"> menes med obligatorisk niveau og hvad der på denne baggrund</w:t>
      </w:r>
      <w:r>
        <w:t xml:space="preserve"> kendetegner talentspor. Det bør lige</w:t>
      </w:r>
      <w:r w:rsidR="00B10256">
        <w:t>-</w:t>
      </w:r>
      <w:r>
        <w:t>ledes klargøres</w:t>
      </w:r>
      <w:r w:rsidR="00B10256">
        <w:t>,</w:t>
      </w:r>
      <w:r>
        <w:t xml:space="preserve"> hvad der menes med fag på højere niveau end det obligatoriske og fag på højeste niveau.</w:t>
      </w:r>
    </w:p>
    <w:p w:rsidR="006E65DE" w:rsidRDefault="006E65DE" w:rsidP="006E65DE">
      <w:pPr>
        <w:pStyle w:val="Brdtekst"/>
      </w:pPr>
      <w:r>
        <w:t>§34: ”25 pct.” ændres til ”hovedparten af skoleundervisningen”.</w:t>
      </w:r>
    </w:p>
    <w:p w:rsidR="006E65DE" w:rsidRDefault="006E65DE" w:rsidP="006E65DE">
      <w:pPr>
        <w:pStyle w:val="Brdtekst"/>
      </w:pPr>
      <w:r>
        <w:t>§</w:t>
      </w:r>
      <w:r w:rsidR="00E75CEC">
        <w:t xml:space="preserve"> </w:t>
      </w:r>
      <w:r>
        <w:t>36</w:t>
      </w:r>
      <w:r w:rsidR="00F72865">
        <w:t>:</w:t>
      </w:r>
      <w:r>
        <w:t xml:space="preserve"> Det bør her præciseres, at et talentspor har fokus på at nå det højeste niveau inden</w:t>
      </w:r>
      <w:r w:rsidR="000119C6">
        <w:t xml:space="preserve"> </w:t>
      </w:r>
      <w:r>
        <w:t>for fag</w:t>
      </w:r>
      <w:r w:rsidR="000119C6">
        <w:t>ets</w:t>
      </w:r>
      <w:r>
        <w:t xml:space="preserve"> kernefaglighed og det skal beskrives i uddannelsesordningen</w:t>
      </w:r>
      <w:r w:rsidR="000119C6">
        <w:t>,</w:t>
      </w:r>
      <w:r>
        <w:t xml:space="preserve"> hvordan dette nås inden</w:t>
      </w:r>
      <w:r w:rsidR="000119C6">
        <w:t xml:space="preserve"> </w:t>
      </w:r>
      <w:r>
        <w:t>for alle relevante fag.</w:t>
      </w:r>
    </w:p>
    <w:p w:rsidR="006E65DE" w:rsidRDefault="006E65DE" w:rsidP="006E65DE">
      <w:pPr>
        <w:pStyle w:val="Brdtekst"/>
      </w:pPr>
      <w:r>
        <w:t>§</w:t>
      </w:r>
      <w:r w:rsidR="00E75CEC">
        <w:t xml:space="preserve"> </w:t>
      </w:r>
      <w:r>
        <w:t>36 stk</w:t>
      </w:r>
      <w:r w:rsidR="000119C6">
        <w:t>.</w:t>
      </w:r>
      <w:r>
        <w:t xml:space="preserve"> 2</w:t>
      </w:r>
      <w:r w:rsidR="00432AF8">
        <w:t>:</w:t>
      </w:r>
      <w:r>
        <w:t xml:space="preserve"> Denne bør ændres således</w:t>
      </w:r>
      <w:r w:rsidR="000119C6">
        <w:t>,</w:t>
      </w:r>
      <w:r>
        <w:t xml:space="preserve"> at hvis en elev ikke har mulighed for at deltage i denne type træning som en del af et talentspor</w:t>
      </w:r>
      <w:r w:rsidR="000119C6">
        <w:t>,</w:t>
      </w:r>
      <w:r>
        <w:t xml:space="preserve"> skal det tilbydes ved siden af den normale undervisning.</w:t>
      </w:r>
    </w:p>
    <w:p w:rsidR="006E65DE" w:rsidRDefault="006E65DE" w:rsidP="006E65DE">
      <w:pPr>
        <w:pStyle w:val="Brdtekst"/>
      </w:pPr>
      <w:r>
        <w:t>Det er LO’s opfattelse, at det skal fremgå af uddannelsesbeviset</w:t>
      </w:r>
      <w:r w:rsidR="00E75CEC">
        <w:t>,</w:t>
      </w:r>
      <w:r>
        <w:t xml:space="preserve"> hvis fag er tag</w:t>
      </w:r>
      <w:r w:rsidR="000119C6">
        <w:t>e</w:t>
      </w:r>
      <w:r>
        <w:t>t på højniveau eller eleven har ful</w:t>
      </w:r>
      <w:r w:rsidR="000119C6">
        <w:t>g</w:t>
      </w:r>
      <w:r>
        <w:t>t et talentspor.</w:t>
      </w:r>
    </w:p>
    <w:p w:rsidR="006E65DE" w:rsidRDefault="006E65DE" w:rsidP="006E65DE">
      <w:pPr>
        <w:pStyle w:val="Brdtekst"/>
      </w:pPr>
      <w:r>
        <w:t>Endelig mener LO, at det i den videre udvikling af talentspor og højniveaufag er nødvendigt at afklare, hvordan praktikken i virksomheden kan understøtte dette, da denne del jo typisk udgør 75 pct. af uddann</w:t>
      </w:r>
      <w:r w:rsidR="000119C6">
        <w:t>e</w:t>
      </w:r>
      <w:r>
        <w:t>lsestiden.</w:t>
      </w:r>
    </w:p>
    <w:p w:rsidR="006E65DE" w:rsidRDefault="000119C6" w:rsidP="006E65DE">
      <w:pPr>
        <w:pStyle w:val="Overskrift2"/>
      </w:pPr>
      <w:r>
        <w:t>Erhvervsuddannelse for v</w:t>
      </w:r>
      <w:r w:rsidR="006E65DE">
        <w:t>oksne</w:t>
      </w:r>
    </w:p>
    <w:p w:rsidR="005E4589" w:rsidRDefault="006E65DE" w:rsidP="005E4589">
      <w:pPr>
        <w:pStyle w:val="Brdtekst"/>
      </w:pPr>
      <w:r>
        <w:t>Det er vigtigt for LO</w:t>
      </w:r>
      <w:r w:rsidR="005E4589">
        <w:t>,</w:t>
      </w:r>
      <w:r>
        <w:t xml:space="preserve"> at erhvervsuddannelse for voksne på alle punkter lever op til at nå samme slutmål som erhvervsuddannelse for unge. Samtidig skal erhvervsuddan</w:t>
      </w:r>
      <w:r w:rsidR="005E4589">
        <w:t>-</w:t>
      </w:r>
      <w:r>
        <w:t>nelse for voksne være tilrettelagt på en sådan måde, at de</w:t>
      </w:r>
      <w:r w:rsidR="00E75CEC">
        <w:t>n</w:t>
      </w:r>
      <w:r>
        <w:t xml:space="preserve"> tager højde for, at voksnes livs- og arbejdssituation ofte er anderledes end de unge</w:t>
      </w:r>
      <w:r w:rsidR="005E4589">
        <w:t>s</w:t>
      </w:r>
      <w:r>
        <w:t xml:space="preserve"> og at de voksne ofte har en række reale kompetencer, som kan danne grundlag for afkortning af uddannelsen.</w:t>
      </w:r>
    </w:p>
    <w:p w:rsidR="006E65DE" w:rsidRDefault="006E65DE" w:rsidP="005E4589">
      <w:pPr>
        <w:pStyle w:val="Brdtekst"/>
      </w:pPr>
      <w:r>
        <w:t>Det fremgår</w:t>
      </w:r>
      <w:r w:rsidR="005E4589">
        <w:t>,</w:t>
      </w:r>
      <w:r>
        <w:t xml:space="preserve"> at skoleundervisningen i euv1 (uden praktik) som ”hovedregel” skal gennemføres som sammenhængende forløb. Bl.a. som konsekvens af de forskellige muligheder for individuel afkortning af det standardiserede forløb, vil sammenhæn</w:t>
      </w:r>
      <w:r w:rsidR="005E4589">
        <w:t>-</w:t>
      </w:r>
      <w:r>
        <w:t xml:space="preserve">gende forløb efter vores vurdering blive undtagelsen og ikke ”hovedreglen”. </w:t>
      </w:r>
    </w:p>
    <w:p w:rsidR="006E65DE" w:rsidRDefault="006E65DE" w:rsidP="006E65DE">
      <w:pPr>
        <w:pStyle w:val="Brdtekst"/>
      </w:pPr>
      <w:r>
        <w:t>§</w:t>
      </w:r>
      <w:r w:rsidR="00E75CEC">
        <w:t xml:space="preserve"> </w:t>
      </w:r>
      <w:r>
        <w:t>13 stk.5</w:t>
      </w:r>
      <w:r w:rsidR="00432AF8">
        <w:t>:</w:t>
      </w:r>
      <w:r>
        <w:t xml:space="preserve"> LO foreslår, at der ikke stilles krav om et sammenhængende forløb.</w:t>
      </w:r>
    </w:p>
    <w:p w:rsidR="006E65DE" w:rsidRDefault="006E65DE" w:rsidP="006E65DE">
      <w:pPr>
        <w:pStyle w:val="Brdtekst"/>
      </w:pPr>
      <w:r>
        <w:t>LO finder det rigtigt, at man i tilrettelæggelsen af grundforløbene tager udgangspunkt i</w:t>
      </w:r>
      <w:r w:rsidR="006C5958">
        <w:t>,</w:t>
      </w:r>
      <w:r>
        <w:t xml:space="preserve"> at der er forskellige sociale og pædagogiske behov hos unge og voksne. Når det imidlertid drejer sig om skoleopholdene på hovedforløbene, mener vi</w:t>
      </w:r>
      <w:r w:rsidR="00E75CEC">
        <w:t>,</w:t>
      </w:r>
      <w:r>
        <w:t xml:space="preserve"> at tilrettelæg</w:t>
      </w:r>
      <w:r w:rsidR="006C5958">
        <w:t>-</w:t>
      </w:r>
      <w:r>
        <w:lastRenderedPageBreak/>
        <w:t>gelsen af den faglige undervisning og muligheden for at lære af hinanden vejer tunge</w:t>
      </w:r>
      <w:r w:rsidR="006C5958">
        <w:t>-</w:t>
      </w:r>
      <w:r>
        <w:t>re. Derfor spiller de forsk</w:t>
      </w:r>
      <w:r w:rsidR="006C5958">
        <w:t>e</w:t>
      </w:r>
      <w:r>
        <w:t>llige pædagogisk</w:t>
      </w:r>
      <w:r w:rsidR="004A42E0">
        <w:t>e</w:t>
      </w:r>
      <w:r>
        <w:t xml:space="preserve"> og sociale behov en mindre rolle her.</w:t>
      </w:r>
    </w:p>
    <w:p w:rsidR="006E65DE" w:rsidRPr="001C0845" w:rsidRDefault="006E65DE" w:rsidP="006E65DE">
      <w:pPr>
        <w:pStyle w:val="Brdtekst"/>
      </w:pPr>
      <w:r>
        <w:t>§</w:t>
      </w:r>
      <w:r w:rsidR="004A42E0">
        <w:t xml:space="preserve"> </w:t>
      </w:r>
      <w:r>
        <w:t>16 stk</w:t>
      </w:r>
      <w:r w:rsidR="006C5958">
        <w:t>.</w:t>
      </w:r>
      <w:r>
        <w:t xml:space="preserve"> 2</w:t>
      </w:r>
      <w:r w:rsidR="00432AF8">
        <w:t>:</w:t>
      </w:r>
      <w:r>
        <w:t xml:space="preserve"> Det indføjes</w:t>
      </w:r>
      <w:r w:rsidR="006C5958">
        <w:t>,</w:t>
      </w:r>
      <w:r>
        <w:t xml:space="preserve"> at hovedreglen om samlæsning alene gælder for grundsfor</w:t>
      </w:r>
      <w:r w:rsidR="006C5958">
        <w:t>-</w:t>
      </w:r>
      <w:r>
        <w:t>løbs</w:t>
      </w:r>
      <w:r w:rsidR="006C5958">
        <w:t>undervisningen.</w:t>
      </w:r>
      <w:r>
        <w:t xml:space="preserve"> </w:t>
      </w:r>
    </w:p>
    <w:p w:rsidR="006E65DE" w:rsidRDefault="006E65DE" w:rsidP="006E65DE"/>
    <w:p w:rsidR="004A42E0" w:rsidRDefault="006E65DE" w:rsidP="004A42E0">
      <w:r w:rsidRPr="001C0845">
        <w:t>Af lovens</w:t>
      </w:r>
      <w:r w:rsidR="00BB663B" w:rsidRPr="001C0845">
        <w:t xml:space="preserve"> § 66</w:t>
      </w:r>
      <w:r w:rsidRPr="001C0845">
        <w:t xml:space="preserve"> fremgår det</w:t>
      </w:r>
      <w:r w:rsidR="006C5958">
        <w:t>,</w:t>
      </w:r>
      <w:r w:rsidRPr="001C0845">
        <w:t xml:space="preserve"> at de faglige udvalg skal udvikle standardiserede hoved</w:t>
      </w:r>
      <w:r w:rsidR="006C5958">
        <w:t>-</w:t>
      </w:r>
      <w:r w:rsidRPr="001C0845">
        <w:t>forløb, som skal afkortes i forhold til hovedforløbene for unge. Dette fremgår endvi</w:t>
      </w:r>
      <w:r w:rsidR="004A42E0">
        <w:t>-</w:t>
      </w:r>
      <w:r w:rsidRPr="001C0845">
        <w:t>dere af udkastet til bekendtgørelse</w:t>
      </w:r>
      <w:r w:rsidR="004A42E0">
        <w:t>,</w:t>
      </w:r>
      <w:r w:rsidR="00BB663B" w:rsidRPr="001C0845">
        <w:t xml:space="preserve"> § 24</w:t>
      </w:r>
      <w:r w:rsidRPr="001C0845">
        <w:t>, hvor afkortningen fastsættes til 10</w:t>
      </w:r>
      <w:r w:rsidR="006C5958">
        <w:t xml:space="preserve"> pct.</w:t>
      </w:r>
      <w:r w:rsidRPr="001C0845">
        <w:t xml:space="preserve"> og hvor ministeriet får bemyndigelse til at fravige kravet om afkortning. Disse regler er klare og entydige. I</w:t>
      </w:r>
      <w:r w:rsidR="00BB663B" w:rsidRPr="001C0845">
        <w:t xml:space="preserve"> § 16</w:t>
      </w:r>
      <w:r w:rsidRPr="001C0845">
        <w:t xml:space="preserve"> vedrøre</w:t>
      </w:r>
      <w:r w:rsidR="006C5958">
        <w:t>nde</w:t>
      </w:r>
      <w:r w:rsidRPr="001C0845">
        <w:t xml:space="preserve"> skolernes tilrettelæggelse opstår der imidlertid uklarhed</w:t>
      </w:r>
      <w:r w:rsidR="006C5958">
        <w:t>,</w:t>
      </w:r>
      <w:r w:rsidRPr="001C0845">
        <w:t xml:space="preserve"> fordi begrebet ”afkortet hovedforløb” anvendes i stedet for ”standardiseret hovedforløb”, som anvendes i loven og</w:t>
      </w:r>
      <w:r w:rsidR="00BB663B" w:rsidRPr="001C0845">
        <w:t xml:space="preserve"> § 26</w:t>
      </w:r>
      <w:r w:rsidRPr="001C0845">
        <w:t xml:space="preserve">. </w:t>
      </w:r>
    </w:p>
    <w:p w:rsidR="004A42E0" w:rsidRDefault="004A42E0" w:rsidP="004A42E0"/>
    <w:p w:rsidR="006E65DE" w:rsidRDefault="006E65DE" w:rsidP="004A42E0">
      <w:r>
        <w:t>§</w:t>
      </w:r>
      <w:r w:rsidR="004A42E0">
        <w:t xml:space="preserve"> 1</w:t>
      </w:r>
      <w:r>
        <w:t>6. stk</w:t>
      </w:r>
      <w:r w:rsidR="006C5958">
        <w:t>.</w:t>
      </w:r>
      <w:r>
        <w:t xml:space="preserve"> 5.: B</w:t>
      </w:r>
      <w:r w:rsidRPr="001C0845">
        <w:t>etegn</w:t>
      </w:r>
      <w:r w:rsidR="00EB35C5">
        <w:t>elsen ”afkortet hovedforløb” i</w:t>
      </w:r>
      <w:r w:rsidR="00BB663B">
        <w:t xml:space="preserve"> §</w:t>
      </w:r>
      <w:r w:rsidR="00BB663B" w:rsidRPr="001C0845">
        <w:t xml:space="preserve"> 16</w:t>
      </w:r>
      <w:r w:rsidRPr="001C0845">
        <w:t xml:space="preserve">, stk. 5 erstattes af ”standardiseret hovedforløb”. </w:t>
      </w:r>
    </w:p>
    <w:p w:rsidR="006E65DE" w:rsidRDefault="006E65DE" w:rsidP="006E65DE">
      <w:pPr>
        <w:pStyle w:val="Overskrift2"/>
      </w:pPr>
      <w:r>
        <w:t>Realkompetencevurdering</w:t>
      </w:r>
    </w:p>
    <w:p w:rsidR="006E65DE" w:rsidRDefault="006E65DE" w:rsidP="006E65DE">
      <w:pPr>
        <w:pStyle w:val="Brdtekst"/>
      </w:pPr>
      <w:r>
        <w:t xml:space="preserve">Ministeriet har i de dialoger, der har været med parterne, samt i svar på </w:t>
      </w:r>
      <w:r w:rsidR="00EB35C5">
        <w:t>spørgsmål 12 i forbindelse med F</w:t>
      </w:r>
      <w:r>
        <w:t>olketingets behandling af lovforslaget, tilkendegivet, at alle har ret til at få lavet en kompetenceafklaring og uddannelsesplan uden aftale med arbejdsgi</w:t>
      </w:r>
      <w:r w:rsidR="0041534D">
        <w:t>-</w:t>
      </w:r>
      <w:r>
        <w:t>veren. Men som udkastet er formuleret</w:t>
      </w:r>
      <w:r w:rsidR="00EB35C5">
        <w:t>,</w:t>
      </w:r>
      <w:r>
        <w:t xml:space="preserve"> er der et incitament for</w:t>
      </w:r>
      <w:r w:rsidR="004A42E0">
        <w:t>,</w:t>
      </w:r>
      <w:r>
        <w:t xml:space="preserve"> at skolerne vil stille som betingelse for at lave kompetenceafklaring og uddannelsesplan, at der er indgået en uddannelsesaftale med arbejdsgiveren. Endelig har det tidligere være et problem, at skolerne har et incitament for ikke at give afkortning for tidligere opnåede real</w:t>
      </w:r>
      <w:r w:rsidR="0041534D">
        <w:t>-</w:t>
      </w:r>
      <w:r>
        <w:t>kompetence og derfor ikke har informeret tilstrækkeligt om mulighederne.</w:t>
      </w:r>
    </w:p>
    <w:p w:rsidR="006E65DE" w:rsidRDefault="006E65DE" w:rsidP="006E65DE">
      <w:pPr>
        <w:rPr>
          <w:b/>
        </w:rPr>
      </w:pPr>
    </w:p>
    <w:p w:rsidR="006E65DE" w:rsidRPr="00100000" w:rsidRDefault="006E65DE" w:rsidP="006E65DE">
      <w:pPr>
        <w:rPr>
          <w:b/>
        </w:rPr>
      </w:pPr>
      <w:r w:rsidRPr="00100000">
        <w:t>LO foreslår, at det præciseres i bekendtgørelsen, at kompetenceafklaring og udarbej</w:t>
      </w:r>
      <w:r w:rsidR="00EB35C5">
        <w:t>-</w:t>
      </w:r>
      <w:r w:rsidRPr="00100000">
        <w:t>delse af uddannelsesplan er et selvstændigt tilbud</w:t>
      </w:r>
      <w:r>
        <w:t>, som skolerne er forpligtet til at ”have på hylderne” og hvor der er adgang for alle – også uden uddannelsesaftale. Det kan placeres enten i kapitel 8 eller 9.</w:t>
      </w:r>
    </w:p>
    <w:p w:rsidR="006E65DE" w:rsidRDefault="006E65DE" w:rsidP="006E65DE">
      <w:pPr>
        <w:pStyle w:val="Brdtekst"/>
      </w:pPr>
      <w:r>
        <w:t>§</w:t>
      </w:r>
      <w:r w:rsidR="0041534D">
        <w:t xml:space="preserve"> </w:t>
      </w:r>
      <w:r>
        <w:t>56: Det bør i denne § præciseres</w:t>
      </w:r>
      <w:r w:rsidR="001B5D32">
        <w:t>,</w:t>
      </w:r>
      <w:r>
        <w:t xml:space="preserve"> at alle elever har ret til at få foretaget en realkom</w:t>
      </w:r>
      <w:r w:rsidR="001B5D32">
        <w:t>-</w:t>
      </w:r>
      <w:r>
        <w:t>petencevurdering.</w:t>
      </w:r>
    </w:p>
    <w:p w:rsidR="006E65DE" w:rsidRDefault="006E65DE" w:rsidP="006E65DE">
      <w:pPr>
        <w:pStyle w:val="Brdtekst"/>
      </w:pPr>
      <w:r>
        <w:t>§</w:t>
      </w:r>
      <w:r w:rsidR="0041534D">
        <w:t xml:space="preserve"> </w:t>
      </w:r>
      <w:r>
        <w:t xml:space="preserve">56: </w:t>
      </w:r>
      <w:r w:rsidRPr="00270C09">
        <w:t>Det bør</w:t>
      </w:r>
      <w:r>
        <w:t xml:space="preserve"> understreges, at skolerne har pligt til at informere eleverne om mulighe</w:t>
      </w:r>
      <w:r w:rsidR="001B5D32">
        <w:t>-</w:t>
      </w:r>
      <w:r>
        <w:t>derne for afkortning og på hvilket grundlag dette kan opnås.</w:t>
      </w:r>
    </w:p>
    <w:p w:rsidR="006E65DE" w:rsidRDefault="006E65DE" w:rsidP="006E65DE">
      <w:pPr>
        <w:pStyle w:val="Brdtekst"/>
      </w:pPr>
      <w:r>
        <w:t>§</w:t>
      </w:r>
      <w:r w:rsidR="0041534D">
        <w:t xml:space="preserve"> </w:t>
      </w:r>
      <w:r>
        <w:t>56 stk</w:t>
      </w:r>
      <w:r w:rsidR="001B5D32">
        <w:t>.</w:t>
      </w:r>
      <w:r>
        <w:t xml:space="preserve"> 5. Denne §</w:t>
      </w:r>
      <w:r w:rsidRPr="00270C09">
        <w:t xml:space="preserve"> bør deles op i pinde</w:t>
      </w:r>
      <w:r w:rsidR="001B5D32">
        <w:t>,</w:t>
      </w:r>
      <w:r w:rsidRPr="00270C09">
        <w:t xml:space="preserve"> der viser hvad skolerne afgør og hvad de faglige udv</w:t>
      </w:r>
      <w:r>
        <w:t>alg afgør</w:t>
      </w:r>
      <w:r w:rsidRPr="00270C09">
        <w:t xml:space="preserve">. </w:t>
      </w:r>
      <w:r>
        <w:t>Grundlaget for skolernes afgørelse om forkortelse skal ligeledes præciseres fx ved henvisning til</w:t>
      </w:r>
      <w:r w:rsidR="001B5D32">
        <w:t xml:space="preserve"> § 38</w:t>
      </w:r>
      <w:r>
        <w:t>, dette gælder særligt hvor skolerne træffer afgørelse om afkortning af praktikdelen.</w:t>
      </w:r>
    </w:p>
    <w:p w:rsidR="006E65DE" w:rsidRPr="00100000" w:rsidRDefault="006E65DE" w:rsidP="006E65DE">
      <w:pPr>
        <w:pStyle w:val="Brdtekst"/>
      </w:pPr>
      <w:r w:rsidRPr="00100000">
        <w:t>§</w:t>
      </w:r>
      <w:r w:rsidR="0041534D">
        <w:t xml:space="preserve"> </w:t>
      </w:r>
      <w:r w:rsidRPr="00100000">
        <w:t>56 stk. 5: Der indføjes</w:t>
      </w:r>
      <w:r w:rsidR="001B5D32">
        <w:t>,</w:t>
      </w:r>
      <w:r w:rsidRPr="00100000">
        <w:t xml:space="preserve"> at kompetencevurderinger fra andre ordninger (fx AMU) indgår i skolens vurderingsgrundlag</w:t>
      </w:r>
      <w:r>
        <w:t>.</w:t>
      </w:r>
    </w:p>
    <w:p w:rsidR="006E65DE" w:rsidRPr="00990A81" w:rsidRDefault="0041534D" w:rsidP="006E65DE">
      <w:pPr>
        <w:pStyle w:val="Brdtekst"/>
      </w:pPr>
      <w:r>
        <w:t xml:space="preserve">§ </w:t>
      </w:r>
      <w:r w:rsidR="006E65DE">
        <w:t>57, stk. 6: Det præciseres</w:t>
      </w:r>
      <w:r w:rsidR="001B5D32">
        <w:t>,</w:t>
      </w:r>
      <w:r w:rsidR="006E65DE">
        <w:t xml:space="preserve"> at en </w:t>
      </w:r>
      <w:r w:rsidR="00BB663B">
        <w:t>afkortning, så</w:t>
      </w:r>
      <w:r w:rsidR="006E65DE">
        <w:t xml:space="preserve"> de</w:t>
      </w:r>
      <w:r w:rsidR="001B5D32">
        <w:t xml:space="preserve">r kun skal aflægges svendeprøve, </w:t>
      </w:r>
      <w:r w:rsidR="006E65DE">
        <w:t>skal ske efter godkendelse af det faglige udvalg.</w:t>
      </w:r>
    </w:p>
    <w:p w:rsidR="006E65DE" w:rsidRDefault="006E65DE" w:rsidP="006E65DE">
      <w:pPr>
        <w:pStyle w:val="Overskrift2"/>
      </w:pPr>
      <w:r>
        <w:lastRenderedPageBreak/>
        <w:t>Optagelsesprøve og samtale</w:t>
      </w:r>
    </w:p>
    <w:p w:rsidR="00D80A3B" w:rsidRDefault="006E65DE" w:rsidP="006E65DE">
      <w:pPr>
        <w:pStyle w:val="Brdtekst"/>
      </w:pPr>
      <w:r>
        <w:t>LO tager til efterretning</w:t>
      </w:r>
      <w:r w:rsidR="001B5D32">
        <w:t>,</w:t>
      </w:r>
      <w:r>
        <w:t xml:space="preserve"> at optagelsesprøven er en fælles, national prøve</w:t>
      </w:r>
      <w:r w:rsidR="001B5D32">
        <w:t>, der tester om</w:t>
      </w:r>
      <w:r>
        <w:t xml:space="preserve"> en ansøger har de fornødne minimumskvalifikationer i dansk og matematik. </w:t>
      </w:r>
      <w:r w:rsidR="00D80A3B">
        <w:t xml:space="preserve">Denne prøve bør udarbejdes så den ikke er en kopi af folkeskolens afgangsprøve, men er målrettet behovene i erhvervsuddannelserne. </w:t>
      </w:r>
    </w:p>
    <w:p w:rsidR="006E65DE" w:rsidRDefault="006E65DE" w:rsidP="006E65DE">
      <w:pPr>
        <w:pStyle w:val="Brdtekst"/>
      </w:pPr>
      <w:r>
        <w:t>Det er overordnet LO’s opfattelse</w:t>
      </w:r>
      <w:r w:rsidR="001B5D32">
        <w:t>,</w:t>
      </w:r>
      <w:r>
        <w:t xml:space="preserve"> at retningslinjerne for optagelsessamtalerne bør diffe</w:t>
      </w:r>
      <w:r w:rsidR="001B5D32">
        <w:t>-</w:t>
      </w:r>
      <w:r>
        <w:t>rentieres i forhold til forskellige grupper. Der er væsentlig forskel på, hvad der bør lægges vægt på for unge</w:t>
      </w:r>
      <w:r w:rsidR="00D73133">
        <w:t>,</w:t>
      </w:r>
      <w:r>
        <w:t xml:space="preserve"> der komme</w:t>
      </w:r>
      <w:r w:rsidR="00D73133">
        <w:t>r</w:t>
      </w:r>
      <w:r>
        <w:t xml:space="preserve"> direkte fra folkeskolen, men ikke lever op til 2</w:t>
      </w:r>
      <w:r w:rsidR="00D73133">
        <w:t>-</w:t>
      </w:r>
      <w:r>
        <w:t>tallet, unge der har været ude 3-4</w:t>
      </w:r>
      <w:r w:rsidR="00153FFD">
        <w:t xml:space="preserve"> år</w:t>
      </w:r>
      <w:r>
        <w:t xml:space="preserve"> og ofte haft et arbejde eller deltaget i anden uddannelse og voksne over 25 år.</w:t>
      </w:r>
    </w:p>
    <w:p w:rsidR="006E65DE" w:rsidRDefault="006E65DE" w:rsidP="006E65DE">
      <w:pPr>
        <w:pStyle w:val="Brdtekst"/>
      </w:pPr>
      <w:r>
        <w:t>§</w:t>
      </w:r>
      <w:r w:rsidR="00D73133">
        <w:t xml:space="preserve"> </w:t>
      </w:r>
      <w:r>
        <w:t>55</w:t>
      </w:r>
      <w:r w:rsidR="00D73133">
        <w:t xml:space="preserve">. </w:t>
      </w:r>
      <w:r>
        <w:t>Denne § bør tilpasses ovenstående således</w:t>
      </w:r>
      <w:r w:rsidR="00D73133">
        <w:t>,</w:t>
      </w:r>
      <w:r>
        <w:t xml:space="preserve"> at der bl.a. for de helt unge lægges vægt på modenhed</w:t>
      </w:r>
      <w:r w:rsidR="00D73133">
        <w:t>,</w:t>
      </w:r>
      <w:r>
        <w:t xml:space="preserve"> me</w:t>
      </w:r>
      <w:r w:rsidR="00D73133">
        <w:t>ns</w:t>
      </w:r>
      <w:r>
        <w:t xml:space="preserve"> der for de ældre lægges vægt på erhvervsmæssig erfaring.</w:t>
      </w:r>
    </w:p>
    <w:p w:rsidR="0077084F" w:rsidRDefault="0077084F" w:rsidP="0077084F"/>
    <w:p w:rsidR="006E65DE" w:rsidRDefault="006E65DE" w:rsidP="0077084F">
      <w:pPr>
        <w:pStyle w:val="Overskrift2"/>
      </w:pPr>
      <w:r>
        <w:t>Øvrige punkter</w:t>
      </w:r>
    </w:p>
    <w:p w:rsidR="006E65DE" w:rsidRDefault="00153FFD" w:rsidP="003C10AD">
      <w:pPr>
        <w:pStyle w:val="Brdtekst"/>
      </w:pPr>
      <w:r>
        <w:t>LO ønsker at påpege f</w:t>
      </w:r>
      <w:r w:rsidR="006E65DE">
        <w:t>ølgende øvrige punkter forbindelse med udkastet til revideret hovedbekendtgørelse:</w:t>
      </w:r>
    </w:p>
    <w:p w:rsidR="003C10AD" w:rsidRDefault="00BB663B" w:rsidP="003C10AD">
      <w:pPr>
        <w:pStyle w:val="Brdtekst"/>
      </w:pPr>
      <w:r>
        <w:t xml:space="preserve">§ 3 stk. 4 ændres til " Reglerne om eux-forløb og om dettes struktur udformes, jf. § 4 i lov om studiekompetencegivende eksamen i forbindelse med erhvervsuddannelser (eux) m.v. efter samråd med de relevante faglige udvalg". </w:t>
      </w:r>
    </w:p>
    <w:p w:rsidR="006E65DE" w:rsidRPr="00990A81" w:rsidRDefault="006E65DE" w:rsidP="006E65DE">
      <w:pPr>
        <w:pStyle w:val="Brdtekst"/>
      </w:pPr>
      <w:r w:rsidRPr="00990A81">
        <w:t>§</w:t>
      </w:r>
      <w:r w:rsidR="00D73133">
        <w:t xml:space="preserve"> </w:t>
      </w:r>
      <w:r w:rsidRPr="00990A81">
        <w:t>20 stk.</w:t>
      </w:r>
      <w:r w:rsidR="00D73133">
        <w:t xml:space="preserve"> </w:t>
      </w:r>
      <w:r w:rsidRPr="00990A81">
        <w:t>4</w:t>
      </w:r>
      <w:r>
        <w:t>: LO gør opmærksom på, at i henhold til den politiske aftale skal</w:t>
      </w:r>
      <w:r w:rsidRPr="00990A81">
        <w:t xml:space="preserve"> disse indgange endeli</w:t>
      </w:r>
      <w:r>
        <w:t>g</w:t>
      </w:r>
      <w:r w:rsidR="00D73133">
        <w:t>t</w:t>
      </w:r>
      <w:r>
        <w:t xml:space="preserve"> udformes i samarbejde med REU.</w:t>
      </w:r>
    </w:p>
    <w:p w:rsidR="006E65DE" w:rsidRPr="00990A81" w:rsidRDefault="006E65DE" w:rsidP="006E65DE">
      <w:pPr>
        <w:pStyle w:val="Brdtekst"/>
      </w:pPr>
      <w:r>
        <w:t>§</w:t>
      </w:r>
      <w:r w:rsidR="00D73133">
        <w:t xml:space="preserve"> </w:t>
      </w:r>
      <w:r w:rsidRPr="00990A81">
        <w:t>20 stk. 5</w:t>
      </w:r>
      <w:r>
        <w:t>:</w:t>
      </w:r>
      <w:r w:rsidRPr="00990A81">
        <w:t xml:space="preserve"> Det bør beskrives nærmere, hvad en fagretning er.</w:t>
      </w:r>
    </w:p>
    <w:p w:rsidR="006E65DE" w:rsidRDefault="006E65DE" w:rsidP="006E65DE">
      <w:pPr>
        <w:pStyle w:val="Brdtekst"/>
      </w:pPr>
      <w:r>
        <w:t>§</w:t>
      </w:r>
      <w:r w:rsidR="00D73133">
        <w:t xml:space="preserve"> </w:t>
      </w:r>
      <w:r>
        <w:t>44 stk.</w:t>
      </w:r>
      <w:r w:rsidR="00D73133">
        <w:t xml:space="preserve"> </w:t>
      </w:r>
      <w:r>
        <w:t>3: Det er efter LO’s opfattelse afgørende, at reglerne for fastsættelse af skolernes optagelse af elever på adgangsbegrænsede uddannelser inden udgan</w:t>
      </w:r>
      <w:r w:rsidR="006138CF">
        <w:t xml:space="preserve">gen af 2014 skal ændres således, </w:t>
      </w:r>
      <w:r>
        <w:t>at denne afspejler målsætningerne om efterfølgende beskæftigelse og de nye aftalestrukturer med flere korte aftaler, som er ved at opstå på nogle områder.</w:t>
      </w:r>
      <w:r w:rsidR="002C253E">
        <w:t xml:space="preserve"> Derfor mener LO, at alle typer uddannelsesaftaler – incl. alle typer korte aftaler og euv-aftaler – skal tælle med i beregningsgrundlaget med der længde/andel af den samlede uddannelseslængde.</w:t>
      </w:r>
      <w:r>
        <w:t xml:space="preserve"> LO’s opfordrer ministeriet til snarest at anmo</w:t>
      </w:r>
      <w:r w:rsidR="006138CF">
        <w:t>de REU om en indstilling om</w:t>
      </w:r>
      <w:r>
        <w:t xml:space="preserve"> dette.</w:t>
      </w:r>
    </w:p>
    <w:p w:rsidR="006E65DE" w:rsidRPr="00990A81" w:rsidRDefault="006E65DE" w:rsidP="006E65DE">
      <w:pPr>
        <w:pStyle w:val="Brdtekst"/>
      </w:pPr>
      <w:r>
        <w:t>§</w:t>
      </w:r>
      <w:r w:rsidR="006138CF">
        <w:t xml:space="preserve"> </w:t>
      </w:r>
      <w:r>
        <w:t>56 stk. 3. LO mener, at denne § skal understrege skolens pligt til at tilbyde supplerende undervisning til elever, der ikke har nået målene for skoleundervisningen i henhold til den personlige uddannelsesplan, som dette tidligere har være</w:t>
      </w:r>
      <w:r w:rsidR="006138CF">
        <w:t>t</w:t>
      </w:r>
      <w:r>
        <w:t xml:space="preserve"> under</w:t>
      </w:r>
      <w:r w:rsidR="006138CF">
        <w:t>-</w:t>
      </w:r>
      <w:r>
        <w:t>streget i lovarbejderne om</w:t>
      </w:r>
      <w:r w:rsidR="006138CF">
        <w:t xml:space="preserve"> </w:t>
      </w:r>
      <w:r>
        <w:t>eud</w:t>
      </w:r>
      <w:r w:rsidR="006138CF">
        <w:t>-</w:t>
      </w:r>
      <w:r>
        <w:t>loven</w:t>
      </w:r>
      <w:r w:rsidR="00460F80">
        <w:t>s §51</w:t>
      </w:r>
      <w:r>
        <w:t xml:space="preserve">. </w:t>
      </w:r>
      <w:r w:rsidRPr="00990A81">
        <w:t xml:space="preserve">§ 56 stk. 3 </w:t>
      </w:r>
      <w:r>
        <w:t>henviser på dette område alene til</w:t>
      </w:r>
      <w:r w:rsidRPr="00990A81">
        <w:t xml:space="preserve"> § 58</w:t>
      </w:r>
      <w:r w:rsidR="006138CF">
        <w:t>,</w:t>
      </w:r>
      <w:r>
        <w:t xml:space="preserve"> der </w:t>
      </w:r>
      <w:r w:rsidRPr="00990A81">
        <w:t xml:space="preserve">vedrører kontaktlærere og mentorer samt læseundervisning, og ikke supplerende undervisning i bredere forstand. </w:t>
      </w:r>
      <w:r>
        <w:t>Dette er en væsentlig indskrænkning i støtten.</w:t>
      </w:r>
    </w:p>
    <w:p w:rsidR="006E65DE" w:rsidRDefault="006E65DE" w:rsidP="006E65DE">
      <w:pPr>
        <w:pStyle w:val="Brdtekst"/>
      </w:pPr>
      <w:r w:rsidRPr="00990A81">
        <w:t>§</w:t>
      </w:r>
      <w:r w:rsidR="006138CF">
        <w:t xml:space="preserve"> </w:t>
      </w:r>
      <w:r w:rsidRPr="00990A81">
        <w:t>86 stk</w:t>
      </w:r>
      <w:r w:rsidR="006138CF">
        <w:t>.</w:t>
      </w:r>
      <w:r w:rsidRPr="00990A81">
        <w:t xml:space="preserve"> 3. </w:t>
      </w:r>
      <w:r>
        <w:t>Der skal laves en særlig blanket (evt. en tro og love</w:t>
      </w:r>
      <w:r w:rsidR="008A3ACF">
        <w:t>-</w:t>
      </w:r>
      <w:r>
        <w:t>erklæring) til brug i de tilfælde</w:t>
      </w:r>
      <w:r w:rsidR="008A3ACF">
        <w:t>,</w:t>
      </w:r>
      <w:r>
        <w:t xml:space="preserve"> hvor der kun er aftale om en realkompetencevurdering.</w:t>
      </w:r>
    </w:p>
    <w:p w:rsidR="002C253E" w:rsidRDefault="002C253E" w:rsidP="006E65DE">
      <w:pPr>
        <w:pStyle w:val="Brdtekst"/>
      </w:pPr>
      <w:r>
        <w:lastRenderedPageBreak/>
        <w:t>Omkring blanketten til indgåelse af uddannelsesaftale mener LO, at afslutningstidspunktet for den samlede uddannelse bør indgå hvor det er relevant således det er tydeligt hvor i forløbet den pågældende aftale indgår.</w:t>
      </w:r>
    </w:p>
    <w:p w:rsidR="006E65DE" w:rsidRDefault="006E65DE" w:rsidP="006E65DE">
      <w:pPr>
        <w:pStyle w:val="Brdtekst"/>
      </w:pPr>
    </w:p>
    <w:p w:rsidR="00476B59" w:rsidRDefault="00476B59" w:rsidP="006E65DE">
      <w:pPr>
        <w:pStyle w:val="Brdtekst"/>
      </w:pPr>
      <w:r>
        <w:t>Med venlig hilsen</w:t>
      </w:r>
    </w:p>
    <w:p w:rsidR="00476B59" w:rsidRDefault="00476B59" w:rsidP="006E65DE">
      <w:pPr>
        <w:pStyle w:val="Brdtekst"/>
      </w:pPr>
    </w:p>
    <w:p w:rsidR="00A6563A" w:rsidRDefault="00A0250E" w:rsidP="00A54CFF">
      <w:pPr>
        <w:pStyle w:val="Underskrift"/>
      </w:pPr>
      <w:r>
        <w:t>Ejner K. Holst</w:t>
      </w:r>
    </w:p>
    <w:p w:rsidR="00A0250E" w:rsidRPr="00476B59" w:rsidRDefault="00476B59" w:rsidP="00A54CFF">
      <w:pPr>
        <w:pStyle w:val="Underskrift"/>
      </w:pPr>
      <w:r w:rsidRPr="00476B59">
        <w:t>LO sekretær</w:t>
      </w:r>
    </w:p>
    <w:sectPr w:rsidR="00A0250E" w:rsidRPr="00476B59" w:rsidSect="00E46CCB">
      <w:headerReference w:type="default" r:id="rId15"/>
      <w:footerReference w:type="default" r:id="rId16"/>
      <w:pgSz w:w="11901" w:h="16840" w:code="9"/>
      <w:pgMar w:top="624" w:right="1814" w:bottom="-1701" w:left="181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157" w:rsidRDefault="00133157">
      <w:r>
        <w:separator/>
      </w:r>
    </w:p>
  </w:endnote>
  <w:endnote w:type="continuationSeparator" w:id="0">
    <w:p w:rsidR="00133157" w:rsidRDefault="0013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C7" w:rsidRDefault="009E2BD1" w:rsidP="005918F0">
    <w:pPr>
      <w:pStyle w:val="Sidefod"/>
      <w:framePr w:w="284" w:h="382" w:hRule="exact" w:hSpace="142" w:wrap="around" w:vAnchor="text" w:hAnchor="page" w:x="11086" w:y="348"/>
      <w:tabs>
        <w:tab w:val="clear" w:pos="9638"/>
        <w:tab w:val="right" w:pos="9282"/>
      </w:tabs>
      <w:rPr>
        <w:rStyle w:val="Sidetal"/>
      </w:rPr>
    </w:pPr>
    <w:r>
      <w:rPr>
        <w:rStyle w:val="Sidetal"/>
      </w:rPr>
      <w:fldChar w:fldCharType="begin"/>
    </w:r>
    <w:r w:rsidR="00D03FC7">
      <w:rPr>
        <w:rStyle w:val="Sidetal"/>
      </w:rPr>
      <w:instrText xml:space="preserve"> PAGE </w:instrText>
    </w:r>
    <w:r>
      <w:rPr>
        <w:rStyle w:val="Sidetal"/>
      </w:rPr>
      <w:fldChar w:fldCharType="separate"/>
    </w:r>
    <w:r w:rsidR="0082209D">
      <w:rPr>
        <w:rStyle w:val="Sidetal"/>
        <w:noProof/>
      </w:rPr>
      <w:t>2</w:t>
    </w:r>
    <w:r>
      <w:rPr>
        <w:rStyle w:val="Sidetal"/>
      </w:rPr>
      <w:fldChar w:fldCharType="end"/>
    </w:r>
  </w:p>
  <w:p w:rsidR="00D03FC7" w:rsidRDefault="00D03FC7" w:rsidP="005918F0">
    <w:pPr>
      <w:pStyle w:val="Sidefod"/>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157" w:rsidRDefault="00133157">
      <w:r>
        <w:separator/>
      </w:r>
    </w:p>
  </w:footnote>
  <w:footnote w:type="continuationSeparator" w:id="0">
    <w:p w:rsidR="00133157" w:rsidRDefault="00133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FC7" w:rsidRDefault="00D03FC7" w:rsidP="005918F0">
    <w:pPr>
      <w:pStyle w:val="Sidehoved"/>
      <w:spacing w:after="567"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95"/>
    <w:rsid w:val="00000C5F"/>
    <w:rsid w:val="000119C6"/>
    <w:rsid w:val="0004160A"/>
    <w:rsid w:val="00080003"/>
    <w:rsid w:val="00090B6C"/>
    <w:rsid w:val="000929BE"/>
    <w:rsid w:val="000A3F47"/>
    <w:rsid w:val="000A4A2F"/>
    <w:rsid w:val="000B54C0"/>
    <w:rsid w:val="000D6C40"/>
    <w:rsid w:val="000E20EA"/>
    <w:rsid w:val="000F4F9F"/>
    <w:rsid w:val="0010556D"/>
    <w:rsid w:val="00121494"/>
    <w:rsid w:val="00125E52"/>
    <w:rsid w:val="00133157"/>
    <w:rsid w:val="00143923"/>
    <w:rsid w:val="00153FFD"/>
    <w:rsid w:val="001B2796"/>
    <w:rsid w:val="001B57AD"/>
    <w:rsid w:val="001B5D32"/>
    <w:rsid w:val="001B77E1"/>
    <w:rsid w:val="0022090C"/>
    <w:rsid w:val="00227AF9"/>
    <w:rsid w:val="0023596E"/>
    <w:rsid w:val="00236C4A"/>
    <w:rsid w:val="00251520"/>
    <w:rsid w:val="002546B8"/>
    <w:rsid w:val="0026026D"/>
    <w:rsid w:val="00275919"/>
    <w:rsid w:val="0028669E"/>
    <w:rsid w:val="002A3B9F"/>
    <w:rsid w:val="002C253E"/>
    <w:rsid w:val="002C3687"/>
    <w:rsid w:val="002F1118"/>
    <w:rsid w:val="00352D78"/>
    <w:rsid w:val="0037378C"/>
    <w:rsid w:val="0039703A"/>
    <w:rsid w:val="003A6D7B"/>
    <w:rsid w:val="003C10AD"/>
    <w:rsid w:val="003D5685"/>
    <w:rsid w:val="003E2687"/>
    <w:rsid w:val="003F0140"/>
    <w:rsid w:val="00414781"/>
    <w:rsid w:val="0041534D"/>
    <w:rsid w:val="00432AF8"/>
    <w:rsid w:val="00450B73"/>
    <w:rsid w:val="00453602"/>
    <w:rsid w:val="00460F80"/>
    <w:rsid w:val="0046266F"/>
    <w:rsid w:val="0047193C"/>
    <w:rsid w:val="00476B59"/>
    <w:rsid w:val="004A42E0"/>
    <w:rsid w:val="004C415E"/>
    <w:rsid w:val="004F3753"/>
    <w:rsid w:val="004F4DBA"/>
    <w:rsid w:val="00527524"/>
    <w:rsid w:val="00561EF4"/>
    <w:rsid w:val="005660CC"/>
    <w:rsid w:val="005808BC"/>
    <w:rsid w:val="0058115D"/>
    <w:rsid w:val="005918F0"/>
    <w:rsid w:val="005B4AC3"/>
    <w:rsid w:val="005B592D"/>
    <w:rsid w:val="005B6AAA"/>
    <w:rsid w:val="005C613A"/>
    <w:rsid w:val="005C7212"/>
    <w:rsid w:val="005D5198"/>
    <w:rsid w:val="005E4589"/>
    <w:rsid w:val="005E7C4A"/>
    <w:rsid w:val="00607F52"/>
    <w:rsid w:val="006138CF"/>
    <w:rsid w:val="006305F3"/>
    <w:rsid w:val="006354E9"/>
    <w:rsid w:val="00635F1B"/>
    <w:rsid w:val="00696C32"/>
    <w:rsid w:val="006B7D64"/>
    <w:rsid w:val="006C5958"/>
    <w:rsid w:val="006D51FE"/>
    <w:rsid w:val="006E65DE"/>
    <w:rsid w:val="006F6181"/>
    <w:rsid w:val="006F7FAB"/>
    <w:rsid w:val="0073436F"/>
    <w:rsid w:val="00742146"/>
    <w:rsid w:val="00742332"/>
    <w:rsid w:val="0077084F"/>
    <w:rsid w:val="007874AA"/>
    <w:rsid w:val="007901B0"/>
    <w:rsid w:val="007A4DF2"/>
    <w:rsid w:val="007C3B6E"/>
    <w:rsid w:val="007C40A5"/>
    <w:rsid w:val="007D39C8"/>
    <w:rsid w:val="007E4E51"/>
    <w:rsid w:val="007F79DC"/>
    <w:rsid w:val="007F7ACA"/>
    <w:rsid w:val="00801F33"/>
    <w:rsid w:val="0080788B"/>
    <w:rsid w:val="0082209D"/>
    <w:rsid w:val="008625AE"/>
    <w:rsid w:val="00874264"/>
    <w:rsid w:val="0087712B"/>
    <w:rsid w:val="008A2169"/>
    <w:rsid w:val="008A3ACF"/>
    <w:rsid w:val="008B1BF2"/>
    <w:rsid w:val="008B4AED"/>
    <w:rsid w:val="00907178"/>
    <w:rsid w:val="009168ED"/>
    <w:rsid w:val="00925A39"/>
    <w:rsid w:val="00933FD4"/>
    <w:rsid w:val="00942D4E"/>
    <w:rsid w:val="009717D7"/>
    <w:rsid w:val="00976852"/>
    <w:rsid w:val="00987835"/>
    <w:rsid w:val="009B6DEA"/>
    <w:rsid w:val="009E2BD1"/>
    <w:rsid w:val="009E79FA"/>
    <w:rsid w:val="009F4051"/>
    <w:rsid w:val="00A0250E"/>
    <w:rsid w:val="00A26509"/>
    <w:rsid w:val="00A266D4"/>
    <w:rsid w:val="00A30ECA"/>
    <w:rsid w:val="00A54CFF"/>
    <w:rsid w:val="00A6563A"/>
    <w:rsid w:val="00A75798"/>
    <w:rsid w:val="00A803F1"/>
    <w:rsid w:val="00AE62AB"/>
    <w:rsid w:val="00AF5019"/>
    <w:rsid w:val="00B10256"/>
    <w:rsid w:val="00B12052"/>
    <w:rsid w:val="00B16F05"/>
    <w:rsid w:val="00B24C4B"/>
    <w:rsid w:val="00B955FC"/>
    <w:rsid w:val="00BB663B"/>
    <w:rsid w:val="00BF3A45"/>
    <w:rsid w:val="00C25EB1"/>
    <w:rsid w:val="00C44A94"/>
    <w:rsid w:val="00C500B3"/>
    <w:rsid w:val="00C61AA6"/>
    <w:rsid w:val="00C663B5"/>
    <w:rsid w:val="00C67BB7"/>
    <w:rsid w:val="00C85A68"/>
    <w:rsid w:val="00CB523F"/>
    <w:rsid w:val="00CB647A"/>
    <w:rsid w:val="00CE7628"/>
    <w:rsid w:val="00D03FC7"/>
    <w:rsid w:val="00D60632"/>
    <w:rsid w:val="00D73133"/>
    <w:rsid w:val="00D80A3B"/>
    <w:rsid w:val="00D80F8C"/>
    <w:rsid w:val="00D85D2C"/>
    <w:rsid w:val="00D95326"/>
    <w:rsid w:val="00D9585A"/>
    <w:rsid w:val="00DA0E66"/>
    <w:rsid w:val="00DB7FA7"/>
    <w:rsid w:val="00DE0AC6"/>
    <w:rsid w:val="00DF2EC8"/>
    <w:rsid w:val="00DF7637"/>
    <w:rsid w:val="00E0072B"/>
    <w:rsid w:val="00E12407"/>
    <w:rsid w:val="00E129A7"/>
    <w:rsid w:val="00E13054"/>
    <w:rsid w:val="00E15F5C"/>
    <w:rsid w:val="00E22E10"/>
    <w:rsid w:val="00E25D57"/>
    <w:rsid w:val="00E46CCB"/>
    <w:rsid w:val="00E75CEC"/>
    <w:rsid w:val="00E91C35"/>
    <w:rsid w:val="00EA6B0D"/>
    <w:rsid w:val="00EB35C5"/>
    <w:rsid w:val="00ED2426"/>
    <w:rsid w:val="00EE474B"/>
    <w:rsid w:val="00EF4666"/>
    <w:rsid w:val="00F1052D"/>
    <w:rsid w:val="00F230A5"/>
    <w:rsid w:val="00F23FA6"/>
    <w:rsid w:val="00F36A93"/>
    <w:rsid w:val="00F418DC"/>
    <w:rsid w:val="00F56F73"/>
    <w:rsid w:val="00F646A8"/>
    <w:rsid w:val="00F66B37"/>
    <w:rsid w:val="00F72865"/>
    <w:rsid w:val="00F92895"/>
    <w:rsid w:val="00FB0D3B"/>
    <w:rsid w:val="00FC7912"/>
    <w:rsid w:val="00FF19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5EC8D7-2AFB-4C7C-BE03-B863A767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8F0"/>
    <w:rPr>
      <w:sz w:val="24"/>
      <w:szCs w:val="24"/>
    </w:rPr>
  </w:style>
  <w:style w:type="paragraph" w:styleId="Overskrift1">
    <w:name w:val="heading 1"/>
    <w:basedOn w:val="Normal"/>
    <w:next w:val="Brdtekst"/>
    <w:qFormat/>
    <w:rsid w:val="005918F0"/>
    <w:pPr>
      <w:keepNext/>
      <w:keepLines/>
      <w:tabs>
        <w:tab w:val="left" w:pos="420"/>
      </w:tabs>
      <w:overflowPunct w:val="0"/>
      <w:autoSpaceDE w:val="0"/>
      <w:autoSpaceDN w:val="0"/>
      <w:adjustRightInd w:val="0"/>
      <w:spacing w:before="480" w:line="370" w:lineRule="exact"/>
      <w:ind w:right="420"/>
      <w:textAlignment w:val="baseline"/>
      <w:outlineLvl w:val="0"/>
    </w:pPr>
    <w:rPr>
      <w:rFonts w:ascii="Arial" w:hAnsi="Arial"/>
      <w:b/>
      <w:sz w:val="32"/>
      <w:szCs w:val="20"/>
    </w:rPr>
  </w:style>
  <w:style w:type="paragraph" w:styleId="Overskrift2">
    <w:name w:val="heading 2"/>
    <w:basedOn w:val="Normal"/>
    <w:next w:val="Brdtekst"/>
    <w:qFormat/>
    <w:rsid w:val="005918F0"/>
    <w:pPr>
      <w:keepNext/>
      <w:keepLines/>
      <w:tabs>
        <w:tab w:val="left" w:pos="560"/>
      </w:tabs>
      <w:overflowPunct w:val="0"/>
      <w:autoSpaceDE w:val="0"/>
      <w:autoSpaceDN w:val="0"/>
      <w:adjustRightInd w:val="0"/>
      <w:spacing w:before="360" w:line="310" w:lineRule="exact"/>
      <w:ind w:right="420"/>
      <w:textAlignment w:val="baseline"/>
      <w:outlineLvl w:val="1"/>
    </w:pPr>
    <w:rPr>
      <w:rFonts w:ascii="Arial" w:hAnsi="Arial"/>
      <w:b/>
      <w:sz w:val="26"/>
      <w:szCs w:val="20"/>
    </w:rPr>
  </w:style>
  <w:style w:type="paragraph" w:styleId="Overskrift3">
    <w:name w:val="heading 3"/>
    <w:basedOn w:val="Normal"/>
    <w:next w:val="Brdtekst"/>
    <w:qFormat/>
    <w:rsid w:val="005918F0"/>
    <w:pPr>
      <w:keepNext/>
      <w:keepLines/>
      <w:tabs>
        <w:tab w:val="left" w:pos="680"/>
      </w:tabs>
      <w:overflowPunct w:val="0"/>
      <w:autoSpaceDE w:val="0"/>
      <w:autoSpaceDN w:val="0"/>
      <w:adjustRightInd w:val="0"/>
      <w:spacing w:before="360" w:line="294" w:lineRule="exact"/>
      <w:textAlignment w:val="baseline"/>
      <w:outlineLvl w:val="2"/>
    </w:pPr>
    <w:rPr>
      <w:rFonts w:ascii="Arial" w:hAnsi="Arial"/>
      <w:b/>
      <w:sz w:val="22"/>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qFormat/>
    <w:rsid w:val="005918F0"/>
    <w:pPr>
      <w:spacing w:before="120" w:line="294" w:lineRule="exact"/>
    </w:pPr>
  </w:style>
  <w:style w:type="table" w:styleId="Tabel-Gitter">
    <w:name w:val="Table Grid"/>
    <w:basedOn w:val="Tabel-Normal"/>
    <w:rsid w:val="00A26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next w:val="Normal"/>
    <w:rsid w:val="004F4DBA"/>
    <w:pPr>
      <w:spacing w:before="360" w:line="240" w:lineRule="exact"/>
    </w:pPr>
    <w:rPr>
      <w:sz w:val="20"/>
    </w:rPr>
  </w:style>
  <w:style w:type="paragraph" w:customStyle="1" w:styleId="Reference2">
    <w:name w:val="Reference 2"/>
    <w:basedOn w:val="Normal"/>
    <w:link w:val="Reference2Tegn"/>
    <w:rsid w:val="005918F0"/>
    <w:pPr>
      <w:spacing w:line="240" w:lineRule="exact"/>
    </w:pPr>
    <w:rPr>
      <w:sz w:val="20"/>
    </w:rPr>
  </w:style>
  <w:style w:type="paragraph" w:customStyle="1" w:styleId="Postnr">
    <w:name w:val="Postnr"/>
    <w:basedOn w:val="Adresse"/>
    <w:rsid w:val="005918F0"/>
    <w:pPr>
      <w:tabs>
        <w:tab w:val="clear" w:pos="860"/>
      </w:tabs>
    </w:pPr>
  </w:style>
  <w:style w:type="paragraph" w:customStyle="1" w:styleId="Adresse">
    <w:name w:val="Adresse"/>
    <w:basedOn w:val="Normal"/>
    <w:next w:val="Postnr"/>
    <w:rsid w:val="005918F0"/>
    <w:pPr>
      <w:keepNext/>
      <w:keepLines/>
      <w:tabs>
        <w:tab w:val="left" w:pos="860"/>
      </w:tabs>
    </w:pPr>
  </w:style>
  <w:style w:type="paragraph" w:customStyle="1" w:styleId="Navn">
    <w:name w:val="Navn"/>
    <w:basedOn w:val="Adresse"/>
    <w:next w:val="Adresse"/>
    <w:rsid w:val="005918F0"/>
    <w:pPr>
      <w:tabs>
        <w:tab w:val="clear" w:pos="860"/>
      </w:tabs>
      <w:spacing w:before="1140"/>
    </w:pPr>
  </w:style>
  <w:style w:type="paragraph" w:customStyle="1" w:styleId="Bilagstegn">
    <w:name w:val="Bilagstegn"/>
    <w:basedOn w:val="Brdtekst"/>
    <w:next w:val="Brdtekst"/>
    <w:rsid w:val="005918F0"/>
    <w:pPr>
      <w:ind w:right="420" w:hanging="499"/>
    </w:pPr>
  </w:style>
  <w:style w:type="paragraph" w:styleId="Indholdsfortegnelse1">
    <w:name w:val="toc 1"/>
    <w:basedOn w:val="Normal"/>
    <w:next w:val="Normal"/>
    <w:semiHidden/>
    <w:rsid w:val="005918F0"/>
    <w:pPr>
      <w:tabs>
        <w:tab w:val="left" w:pos="560"/>
        <w:tab w:val="right" w:leader="dot" w:pos="8840"/>
      </w:tabs>
      <w:spacing w:before="200" w:after="40" w:line="300" w:lineRule="exact"/>
      <w:ind w:right="17"/>
      <w:jc w:val="both"/>
    </w:pPr>
  </w:style>
  <w:style w:type="paragraph" w:customStyle="1" w:styleId="Reference3">
    <w:name w:val="Reference 3"/>
    <w:basedOn w:val="Normal"/>
    <w:rsid w:val="005918F0"/>
    <w:pPr>
      <w:spacing w:line="240" w:lineRule="exact"/>
    </w:pPr>
    <w:rPr>
      <w:sz w:val="20"/>
    </w:rPr>
  </w:style>
  <w:style w:type="paragraph" w:customStyle="1" w:styleId="LODato">
    <w:name w:val="LODato"/>
    <w:basedOn w:val="Reference"/>
    <w:rsid w:val="00DB7FA7"/>
    <w:pPr>
      <w:spacing w:before="0"/>
    </w:pPr>
  </w:style>
  <w:style w:type="paragraph" w:styleId="Indholdsfortegnelse2">
    <w:name w:val="toc 2"/>
    <w:basedOn w:val="Normal"/>
    <w:next w:val="Normal"/>
    <w:autoRedefine/>
    <w:semiHidden/>
    <w:rsid w:val="005918F0"/>
    <w:pPr>
      <w:tabs>
        <w:tab w:val="left" w:pos="1200"/>
        <w:tab w:val="right" w:leader="dot" w:pos="8840"/>
      </w:tabs>
      <w:spacing w:before="40" w:line="300" w:lineRule="exact"/>
      <w:ind w:left="578" w:right="74"/>
      <w:jc w:val="both"/>
    </w:pPr>
  </w:style>
  <w:style w:type="paragraph" w:styleId="Indholdsfortegnelse3">
    <w:name w:val="toc 3"/>
    <w:basedOn w:val="Normal"/>
    <w:next w:val="Normal"/>
    <w:autoRedefine/>
    <w:semiHidden/>
    <w:rsid w:val="005918F0"/>
    <w:pPr>
      <w:tabs>
        <w:tab w:val="left" w:pos="1860"/>
        <w:tab w:val="right" w:leader="dot" w:pos="8840"/>
      </w:tabs>
      <w:spacing w:before="40" w:line="300" w:lineRule="exact"/>
      <w:ind w:left="1202" w:right="17"/>
      <w:jc w:val="both"/>
    </w:pPr>
  </w:style>
  <w:style w:type="paragraph" w:customStyle="1" w:styleId="Cellebilag">
    <w:name w:val="Cellebilag"/>
    <w:basedOn w:val="Brdtekst"/>
    <w:rsid w:val="005918F0"/>
    <w:pPr>
      <w:ind w:left="380"/>
      <w:jc w:val="both"/>
    </w:pPr>
  </w:style>
  <w:style w:type="paragraph" w:customStyle="1" w:styleId="Cellebrdtekst">
    <w:name w:val="Cellebrødtekst"/>
    <w:basedOn w:val="Normal"/>
    <w:rsid w:val="005918F0"/>
    <w:pPr>
      <w:spacing w:before="200"/>
      <w:ind w:right="199"/>
    </w:pPr>
  </w:style>
  <w:style w:type="paragraph" w:styleId="Sidefod">
    <w:name w:val="footer"/>
    <w:basedOn w:val="Normal"/>
    <w:rsid w:val="005918F0"/>
    <w:pPr>
      <w:tabs>
        <w:tab w:val="center" w:pos="4819"/>
        <w:tab w:val="right" w:pos="9638"/>
      </w:tabs>
      <w:overflowPunct w:val="0"/>
      <w:autoSpaceDE w:val="0"/>
      <w:autoSpaceDN w:val="0"/>
      <w:adjustRightInd w:val="0"/>
      <w:spacing w:line="300" w:lineRule="exact"/>
      <w:textAlignment w:val="baseline"/>
    </w:pPr>
    <w:rPr>
      <w:szCs w:val="20"/>
    </w:rPr>
  </w:style>
  <w:style w:type="paragraph" w:styleId="Sidehoved">
    <w:name w:val="header"/>
    <w:basedOn w:val="Normal"/>
    <w:rsid w:val="005918F0"/>
    <w:pPr>
      <w:tabs>
        <w:tab w:val="center" w:pos="4819"/>
        <w:tab w:val="right" w:pos="9638"/>
      </w:tabs>
      <w:overflowPunct w:val="0"/>
      <w:autoSpaceDE w:val="0"/>
      <w:autoSpaceDN w:val="0"/>
      <w:adjustRightInd w:val="0"/>
      <w:spacing w:line="300" w:lineRule="exact"/>
      <w:textAlignment w:val="baseline"/>
    </w:pPr>
    <w:rPr>
      <w:szCs w:val="20"/>
    </w:rPr>
  </w:style>
  <w:style w:type="character" w:styleId="Sidetal">
    <w:name w:val="page number"/>
    <w:basedOn w:val="Standardskrifttypeiafsnit"/>
    <w:rsid w:val="005918F0"/>
  </w:style>
  <w:style w:type="paragraph" w:styleId="Dato">
    <w:name w:val="Date"/>
    <w:basedOn w:val="Normal"/>
    <w:rsid w:val="005918F0"/>
    <w:pPr>
      <w:spacing w:line="240" w:lineRule="exact"/>
    </w:pPr>
    <w:rPr>
      <w:sz w:val="20"/>
    </w:rPr>
  </w:style>
  <w:style w:type="character" w:styleId="Fodnotehenvisning">
    <w:name w:val="footnote reference"/>
    <w:basedOn w:val="Standardskrifttypeiafsnit"/>
    <w:semiHidden/>
    <w:rsid w:val="005918F0"/>
    <w:rPr>
      <w:vertAlign w:val="superscript"/>
    </w:rPr>
  </w:style>
  <w:style w:type="paragraph" w:styleId="Fodnotetekst">
    <w:name w:val="footnote text"/>
    <w:basedOn w:val="Normal"/>
    <w:semiHidden/>
    <w:rsid w:val="005918F0"/>
    <w:rPr>
      <w:sz w:val="20"/>
    </w:rPr>
  </w:style>
  <w:style w:type="paragraph" w:customStyle="1" w:styleId="tilhoved">
    <w:name w:val="til hoved"/>
    <w:basedOn w:val="Normal"/>
    <w:rsid w:val="005918F0"/>
    <w:pPr>
      <w:tabs>
        <w:tab w:val="left" w:pos="860"/>
      </w:tabs>
      <w:spacing w:line="360" w:lineRule="atLeast"/>
    </w:pPr>
    <w:rPr>
      <w:rFonts w:ascii="Helvetica" w:hAnsi="Helvetica"/>
      <w:sz w:val="16"/>
    </w:rPr>
  </w:style>
  <w:style w:type="paragraph" w:styleId="Underskrift">
    <w:name w:val="Signature"/>
    <w:basedOn w:val="Brdtekst"/>
    <w:rsid w:val="005918F0"/>
    <w:pPr>
      <w:tabs>
        <w:tab w:val="left" w:pos="3780"/>
      </w:tabs>
      <w:spacing w:before="100" w:line="300" w:lineRule="exact"/>
    </w:pPr>
  </w:style>
  <w:style w:type="character" w:customStyle="1" w:styleId="t1">
    <w:name w:val="t1"/>
    <w:basedOn w:val="Standardskrifttypeiafsnit"/>
    <w:rsid w:val="00EE474B"/>
    <w:rPr>
      <w:color w:val="990000"/>
    </w:rPr>
  </w:style>
  <w:style w:type="paragraph" w:customStyle="1" w:styleId="Field">
    <w:name w:val="Field"/>
    <w:basedOn w:val="Reference3"/>
    <w:rsid w:val="00E0072B"/>
  </w:style>
  <w:style w:type="paragraph" w:customStyle="1" w:styleId="Fieldformat">
    <w:name w:val="Field format"/>
    <w:basedOn w:val="Field"/>
    <w:rsid w:val="00E0072B"/>
  </w:style>
  <w:style w:type="character" w:customStyle="1" w:styleId="Reference2Tegn">
    <w:name w:val="Reference 2 Tegn"/>
    <w:basedOn w:val="Standardskrifttypeiafsnit"/>
    <w:link w:val="Reference2"/>
    <w:rsid w:val="00251520"/>
    <w:rPr>
      <w:szCs w:val="24"/>
      <w:lang w:val="da-DK" w:eastAsia="da-DK" w:bidi="ar-SA"/>
    </w:rPr>
  </w:style>
  <w:style w:type="paragraph" w:customStyle="1" w:styleId="Brdtekst2">
    <w:name w:val="Brødtekst2"/>
    <w:basedOn w:val="Normal"/>
    <w:rsid w:val="005E7C4A"/>
    <w:pPr>
      <w:keepNext/>
      <w:keepLines/>
    </w:pPr>
  </w:style>
  <w:style w:type="paragraph" w:customStyle="1" w:styleId="paragraf">
    <w:name w:val="paragraf"/>
    <w:basedOn w:val="Normal"/>
    <w:rsid w:val="006E65DE"/>
    <w:pPr>
      <w:spacing w:before="200"/>
      <w:ind w:firstLine="240"/>
    </w:pPr>
    <w:rPr>
      <w:rFonts w:ascii="Tahoma" w:eastAsiaTheme="minorHAnsi" w:hAnsi="Tahoma" w:cs="Tahoma"/>
      <w:color w:val="000000"/>
    </w:rPr>
  </w:style>
  <w:style w:type="character" w:customStyle="1" w:styleId="paragrafnr1">
    <w:name w:val="paragrafnr1"/>
    <w:basedOn w:val="Standardskrifttypeiafsnit"/>
    <w:rsid w:val="006E65DE"/>
    <w:rPr>
      <w:rFonts w:ascii="Tahoma" w:hAnsi="Tahoma" w:cs="Tahoma" w:hint="default"/>
      <w:b/>
      <w:bCs/>
      <w:color w:val="000000"/>
    </w:rPr>
  </w:style>
  <w:style w:type="paragraph" w:styleId="Almindeligtekst">
    <w:name w:val="Plain Text"/>
    <w:basedOn w:val="Normal"/>
    <w:link w:val="AlmindeligtekstTegn"/>
    <w:uiPriority w:val="99"/>
    <w:unhideWhenUsed/>
    <w:rsid w:val="003C10AD"/>
    <w:rPr>
      <w:rFonts w:ascii="Consolas" w:eastAsiaTheme="minorHAnsi" w:hAnsi="Consolas" w:cstheme="minorBidi"/>
      <w:sz w:val="21"/>
      <w:szCs w:val="21"/>
      <w:lang w:eastAsia="en-US"/>
    </w:rPr>
  </w:style>
  <w:style w:type="character" w:customStyle="1" w:styleId="AlmindeligtekstTegn">
    <w:name w:val="Almindelig tekst Tegn"/>
    <w:basedOn w:val="Standardskrifttypeiafsnit"/>
    <w:link w:val="Almindeligtekst"/>
    <w:uiPriority w:val="99"/>
    <w:rsid w:val="003C10AD"/>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619407">
      <w:bodyDiv w:val="1"/>
      <w:marLeft w:val="0"/>
      <w:marRight w:val="0"/>
      <w:marTop w:val="0"/>
      <w:marBottom w:val="0"/>
      <w:divBdr>
        <w:top w:val="none" w:sz="0" w:space="0" w:color="auto"/>
        <w:left w:val="none" w:sz="0" w:space="0" w:color="auto"/>
        <w:bottom w:val="none" w:sz="0" w:space="0" w:color="auto"/>
        <w:right w:val="none" w:sz="0" w:space="0" w:color="auto"/>
      </w:divBdr>
    </w:div>
    <w:div w:id="20413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olicyDirtyBag xmlns="microsoft.office.server.policy.changes">
  <ExformaticsQualityPolicy xmlns="" op="Change"/>
</PolicyDirtyBag>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fdeling xmlns="315aba36-08d7-4b96-83b4-55388d4e5b2f" xsi:nil="true"/>
    <Forfatter xmlns="315aba36-08d7-4b96-83b4-55388d4e5b2f" xsi:nil="true"/>
    <DocType xmlns="315aba36-08d7-4b96-83b4-55388d4e5b2f" xsi:nil="true"/>
    <LOSagsnr xmlns="315aba36-08d7-4b96-83b4-55388d4e5b2f" xsi:nil="true"/>
    <EXDocumentID xmlns="http://schemas.microsoft.com/sharepoint/v3/fields">001414580</EXDocumentID>
    <EXCoreDocType xmlns="http://schemas.microsoft.com/sharepoint/v3/fields">Type1A</EXCoreDocType>
    <EXHash xmlns="http://schemas.microsoft.com/sharepoint/v3/fields">C5F04869ECBB282E7092C7A1CCB0FA9B649B93B922B6168519B14E7ECC274666F9235EDE11F11C10D4152A48AE89677522FFA5F45A56FAAF531B6626FEFC41C9</EXHash>
    <EXTimestamp xmlns="http://schemas.microsoft.com/sharepoint/v3/fields">9/19/2014 12:41:32 PM</EXTimestamp>
  </documentManagement>
</p:properties>
</file>

<file path=customXml/item4.xml><?xml version="1.0" encoding="utf-8"?>
<?mso-contentType ?>
<spe:Receivers xmlns:spe="http://schemas.microsoft.com/sharepoint/events">
  <Receiver>
    <Name>Exformatics Unique Document ID Feature</Name>
    <Type>3</Type>
    <SequenceNumber>111</SequenceNumber>
    <Assembly>Exformatics.RecordsManagement.IntegrityPolicy, Version=1.0.0.0, Culture=neutral, PublicKeyToken=72fe5af1b9916199</Assembly>
    <Class>Exformatics.RecordsManagement.EXUniqueDocumentID</Class>
    <Data/>
    <Filter/>
  </Receiver>
  <Receiver>
    <Name>Exformatics Unique Document ID Feature</Name>
    <Type>10001</Type>
    <SequenceNumber>950</SequenceNumber>
    <Assembly>Exformatics.RecordsManagement.IntegrityPolicy, Version=1.0.0.0, Culture=neutral, PublicKeyToken=72fe5af1b9916199</Assembly>
    <Class>Exformatics.RecordsManagement.EXUniqueDocumentID</Class>
    <Data/>
    <Filter/>
  </Receiver>
  <Receiver>
    <Name>Exformatics Unique Document ID Feature</Name>
    <Type>10002</Type>
    <SequenceNumber>1152</SequenceNumber>
    <Assembly>Exformatics.RecordsManagement.IntegrityPolicy, Version=1.0.0.0, Culture=neutral, PublicKeyToken=72fe5af1b9916199</Assembly>
    <Class>Exformatics.RecordsManagement.EXUniqueDocumentID</Class>
    <Data/>
    <Filter/>
  </Receiver>
  <Receiver>
    <Name>Exformatics Unique Document ID Feature</Name>
    <Type>10009</Type>
    <SequenceNumber>1153</SequenceNumber>
    <Assembly>Exformatics.RecordsManagement.IntegrityPolicy, Version=1.0.0.0, Culture=neutral, PublicKeyToken=72fe5af1b9916199</Assembly>
    <Class>Exformatics.RecordsManagement.EXUniqueDocumentID</Class>
    <Data/>
    <Filter/>
  </Receiver>
  <Receiver>
    <Name>Exformatics Unique Document ID Feature</Name>
    <Type>10004</Type>
    <SequenceNumber>1154</SequenceNumber>
    <Assembly>Exformatics.RecordsManagement.IntegrityPolicy, Version=1.0.0.0, Culture=neutral, PublicKeyToken=72fe5af1b9916199</Assembly>
    <Class>Exformatics.RecordsManagement.EXUniqueDocumentID</Class>
    <Data/>
    <Filter/>
  </Receiver>
  <Receiver>
    <Name>Exformatics Unique Document ID Feature</Name>
    <Type>10003</Type>
    <SequenceNumber>1160</SequenceNumber>
    <Assembly>Exformatics.RecordsManagement.IntegrityPolicy, Version=1.0.0.0, Culture=neutral, PublicKeyToken=72fe5af1b9916199</Assembly>
    <Class>Exformatics.RecordsManagement.EXUniqueDocumentID</Class>
    <Data/>
    <Filter/>
  </Receiver>
  <Receiver>
    <Name>Exformatics Unique Document ID Feature</Name>
    <Type>4</Type>
    <SequenceNumber>115</SequenceNumber>
    <Assembly>Exformatics.RecordsManagement.IntegrityPolicy, Version=1.0.0.0, Culture=neutral, PublicKeyToken=72fe5af1b9916199</Assembly>
    <Class>Exformatics.RecordsManagement.EXUniqueDocumentID</Class>
    <Data/>
    <Filter/>
  </Receiver>
  <Receiver>
    <Name>Exformatics Unique Document ID Feature</Name>
    <Type>5</Type>
    <SequenceNumber>116</SequenceNumber>
    <Assembly>Exformatics.RecordsManagement.IntegrityPolicy, Version=1.0.0.0, Culture=neutral, PublicKeyToken=72fe5af1b9916199</Assembly>
    <Class>Exformatics.RecordsManagement.EXUniqueDocumentID</Class>
    <Data/>
    <Filter/>
  </Receiver>
  <Receiver>
    <Name>Exformatics Unique Document ID Feature</Name>
    <Type>6</Type>
    <SequenceNumber>117</SequenceNumber>
    <Assembly>Exformatics.RecordsManagement.IntegrityPolicy, Version=1.0.0.0, Culture=neutral, PublicKeyToken=72fe5af1b9916199</Assembly>
    <Class>Exformatics.RecordsManagement.EXUniqueDocumentID</Class>
    <Data/>
    <Filter/>
  </Receiver>
  <Receiver>
    <Name>Exformatics Unique Document ID Feature</Name>
    <Type>2</Type>
    <SequenceNumber>112</SequenceNumber>
    <Assembly>Exformatics.RecordsManagement.IntegrityPolicy, Version=1.0.0.0, Culture=neutral, PublicKeyToken=72fe5af1b9916199</Assembly>
    <Class>Exformatics.RecordsManagement.EXUniqueDocumentID</Class>
    <Data/>
    <Filter/>
  </Receiver>
  <Receiver>
    <Name>Exformatics Unique Document ID Feature</Name>
    <Type>3</Type>
    <SequenceNumber>111</SequenceNumber>
    <Assembly>Exformatics.RecordsManagement.IntegrityPolicy, Version=1.0.0.0, Culture=neutral, PublicKeyToken=72fe5af1b9916199</Assembly>
    <Class>Exformatics.RecordsManagement.EXUniqueDocumentID</Class>
    <Data/>
    <Filter/>
  </Receiver>
  <Receiver>
    <Name>Exformatics Unique Document ID Feature</Name>
    <Type>10001</Type>
    <SequenceNumber>950</SequenceNumber>
    <Assembly>Exformatics.RecordsManagement.IntegrityPolicy, Version=1.0.0.0, Culture=neutral, PublicKeyToken=72fe5af1b9916199</Assembly>
    <Class>Exformatics.RecordsManagement.EXUniqueDocumentID</Class>
    <Data/>
    <Filter/>
  </Receiver>
  <Receiver>
    <Name>Exformatics Unique Document ID Feature</Name>
    <Type>10002</Type>
    <SequenceNumber>1152</SequenceNumber>
    <Assembly>Exformatics.RecordsManagement.IntegrityPolicy, Version=1.0.0.0, Culture=neutral, PublicKeyToken=72fe5af1b9916199</Assembly>
    <Class>Exformatics.RecordsManagement.EXUniqueDocumentID</Class>
    <Data/>
    <Filter/>
  </Receiver>
  <Receiver>
    <Name>Exformatics Unique Document ID Feature</Name>
    <Type>10009</Type>
    <SequenceNumber>1153</SequenceNumber>
    <Assembly>Exformatics.RecordsManagement.IntegrityPolicy, Version=1.0.0.0, Culture=neutral, PublicKeyToken=72fe5af1b9916199</Assembly>
    <Class>Exformatics.RecordsManagement.EXUniqueDocumentID</Class>
    <Data/>
    <Filter/>
  </Receiver>
  <Receiver>
    <Name>Exformatics Unique Document ID Feature</Name>
    <Type>10004</Type>
    <SequenceNumber>1154</SequenceNumber>
    <Assembly>Exformatics.RecordsManagement.IntegrityPolicy, Version=1.0.0.0, Culture=neutral, PublicKeyToken=72fe5af1b9916199</Assembly>
    <Class>Exformatics.RecordsManagement.EXUniqueDocumentID</Class>
    <Data/>
    <Filter/>
  </Receiver>
  <Receiver>
    <Name>Exformatics Unique Document ID Feature</Name>
    <Type>10003</Type>
    <SequenceNumber>1160</SequenceNumber>
    <Assembly>Exformatics.RecordsManagement.IntegrityPolicy, Version=1.0.0.0, Culture=neutral, PublicKeyToken=72fe5af1b9916199</Assembly>
    <Class>Exformatics.RecordsManagement.EXUniqueDocumentID</Class>
    <Data/>
    <Filter/>
  </Receiver>
  <Receiver>
    <Name>Exformatics Unique Document ID Feature</Name>
    <Type>4</Type>
    <SequenceNumber>115</SequenceNumber>
    <Assembly>Exformatics.RecordsManagement.IntegrityPolicy, Version=1.0.0.0, Culture=neutral, PublicKeyToken=72fe5af1b9916199</Assembly>
    <Class>Exformatics.RecordsManagement.EXUniqueDocumentID</Class>
    <Data/>
    <Filter/>
  </Receiver>
  <Receiver>
    <Name>Exformatics Unique Document ID Feature</Name>
    <Type>5</Type>
    <SequenceNumber>116</SequenceNumber>
    <Assembly>Exformatics.RecordsManagement.IntegrityPolicy, Version=1.0.0.0, Culture=neutral, PublicKeyToken=72fe5af1b9916199</Assembly>
    <Class>Exformatics.RecordsManagement.EXUniqueDocumentID</Class>
    <Data/>
    <Filter/>
  </Receiver>
  <Receiver>
    <Name>Exformatics Unique Document ID Feature</Name>
    <Type>6</Type>
    <SequenceNumber>117</SequenceNumber>
    <Assembly>Exformatics.RecordsManagement.IntegrityPolicy, Version=1.0.0.0, Culture=neutral, PublicKeyToken=72fe5af1b9916199</Assembly>
    <Class>Exformatics.RecordsManagement.EXUniqueDocumentID</Class>
    <Data/>
    <Filter/>
  </Receiver>
  <Receiver>
    <Name>Exformatics Unique Document ID Feature</Name>
    <Type>2</Type>
    <SequenceNumber>112</SequenceNumber>
    <Assembly>Exformatics.RecordsManagement.IntegrityPolicy, Version=1.0.0.0, Culture=neutral, PublicKeyToken=72fe5af1b9916199</Assembly>
    <Class>Exformatics.RecordsManagement.EXUniqueDocumentID</Class>
    <Data/>
    <Filter/>
  </Receiver>
</spe:Receivers>
</file>

<file path=customXml/item5.xml><?xml version="1.0" encoding="utf-8"?>
<?mso-contentType ?>
<p:Policy xmlns:p="office.server.policy" id="" local="true">
  <p:Name>LODocument</p:Name>
  <p:Description>Exformatics Basic Policy. Ensures generation of unique Document ID.</p:Description>
  <p:Statement>Exformatics Basic Policy. Ensures generation of unique Document ID.</p:Statement>
  <p:PolicyItems>
    <p:PolicyItem featureId="ExformaticsQualityPolicy">
      <p:Name>Exformatics Quality Controls</p:Name>
      <p:Description>Generates a unique global document id for each document added. Supports regulatory and patent documents.</p:Description>
      <p:CustomData>
        <config>
          <UniqueEXDocID>true</UniqueEXDocID>
          <AddDefaultValues>true</AddDefaultValues>
          <SignedApproval>false</SignedApproval>
          <RegulatoryDocument>false</RegulatoryDocument>
          <PatentDocument>false</PatentDocument>
          <DocIDServer/>
          <EXCoreDocType>Type1A</EXCoreDocType>
        </config>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LODocument" ma:contentTypeID="0x01010E00F841405F4FC6884DB5A53F6E003099D10094E96897EEC00A43ADEADC59BCB8F040" ma:contentTypeVersion="107" ma:contentTypeDescription="EXDocument" ma:contentTypeScope="" ma:versionID="9676b1d9df3545bc33be70bfc9423ca1">
  <xsd:schema xmlns:xsd="http://www.w3.org/2001/XMLSchema" xmlns:xs="http://www.w3.org/2001/XMLSchema" xmlns:p="http://schemas.microsoft.com/office/2006/metadata/properties" xmlns:ns2="http://schemas.microsoft.com/sharepoint/v3/fields" xmlns:ns3="315aba36-08d7-4b96-83b4-55388d4e5b2f" targetNamespace="http://schemas.microsoft.com/office/2006/metadata/properties" ma:root="true" ma:fieldsID="3560a7d3b703e2eeb8af7738db82111b" ns2:_="" ns3:_="">
    <xsd:import namespace="http://schemas.microsoft.com/sharepoint/v3/fields"/>
    <xsd:import namespace="315aba36-08d7-4b96-83b4-55388d4e5b2f"/>
    <xsd:element name="properties">
      <xsd:complexType>
        <xsd:sequence>
          <xsd:element name="documentManagement">
            <xsd:complexType>
              <xsd:all>
                <xsd:element ref="ns2:EXDocumentID" minOccurs="0"/>
                <xsd:element ref="ns2:EXCoreDocType" minOccurs="0"/>
                <xsd:element ref="ns2:EXHash" minOccurs="0"/>
                <xsd:element ref="ns2:EXTimestamp" minOccurs="0"/>
                <xsd:element ref="ns3:LOSagsnr" minOccurs="0"/>
                <xsd:element ref="ns3:DocType" minOccurs="0"/>
                <xsd:element ref="ns3:Afdeling" minOccurs="0"/>
                <xsd:element ref="ns3:Forfa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aba36-08d7-4b96-83b4-55388d4e5b2f" elementFormDefault="qualified">
    <xsd:import namespace="http://schemas.microsoft.com/office/2006/documentManagement/types"/>
    <xsd:import namespace="http://schemas.microsoft.com/office/infopath/2007/PartnerControls"/>
    <xsd:element name="LOSagsnr" ma:index="13" nillable="true" ma:displayName="LOSagsnr" ma:hidden="true" ma:internalName="LOSagsnr" ma:readOnly="false">
      <xsd:simpleType>
        <xsd:restriction base="dms:Text">
          <xsd:maxLength value="7"/>
        </xsd:restriction>
      </xsd:simpleType>
    </xsd:element>
    <xsd:element name="DocType" ma:index="14" nillable="true" ma:displayName="DocType" ma:internalName="DocType" ma:readOnly="false">
      <xsd:simpleType>
        <xsd:restriction base="dms:Unknown"/>
      </xsd:simpleType>
    </xsd:element>
    <xsd:element name="Afdeling" ma:index="15" nillable="true" ma:displayName="Afdeling" ma:internalName="Afdeling" ma:readOnly="false">
      <xsd:simpleType>
        <xsd:restriction base="dms:Unknown"/>
      </xsd:simpleType>
    </xsd:element>
    <xsd:element name="Forfatter" ma:index="16" nillable="true" ma:displayName="Forfatter" ma:internalName="Forfatter" ma:readOnly="false">
      <xsd:simpleType>
        <xsd:restriction base="dms:Unknown">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6C315-B58B-4EB1-A27D-2C9C78A28D1F}">
  <ds:schemaRefs>
    <ds:schemaRef ds:uri="microsoft.office.server.policy.changes"/>
    <ds:schemaRef ds:uri=""/>
  </ds:schemaRefs>
</ds:datastoreItem>
</file>

<file path=customXml/itemProps2.xml><?xml version="1.0" encoding="utf-8"?>
<ds:datastoreItem xmlns:ds="http://schemas.openxmlformats.org/officeDocument/2006/customXml" ds:itemID="{4AAFD08B-2A19-415D-8143-44F6BF2CFF57}">
  <ds:schemaRefs>
    <ds:schemaRef ds:uri="http://schemas.microsoft.com/sharepoint/v3/contenttype/forms"/>
  </ds:schemaRefs>
</ds:datastoreItem>
</file>

<file path=customXml/itemProps3.xml><?xml version="1.0" encoding="utf-8"?>
<ds:datastoreItem xmlns:ds="http://schemas.openxmlformats.org/officeDocument/2006/customXml" ds:itemID="{78095FC8-E754-4145-8487-90B5A13970F3}">
  <ds:schemaRefs>
    <ds:schemaRef ds:uri="http://schemas.microsoft.com/office/2006/metadata/properties"/>
    <ds:schemaRef ds:uri="http://schemas.microsoft.com/office/infopath/2007/PartnerControls"/>
    <ds:schemaRef ds:uri="315aba36-08d7-4b96-83b4-55388d4e5b2f"/>
    <ds:schemaRef ds:uri="http://schemas.microsoft.com/sharepoint/v3/fields"/>
  </ds:schemaRefs>
</ds:datastoreItem>
</file>

<file path=customXml/itemProps4.xml><?xml version="1.0" encoding="utf-8"?>
<ds:datastoreItem xmlns:ds="http://schemas.openxmlformats.org/officeDocument/2006/customXml" ds:itemID="{976EEFB6-B8D5-41BD-B6D6-A55BF8DA9003}">
  <ds:schemaRefs>
    <ds:schemaRef ds:uri="http://schemas.microsoft.com/sharepoint/events"/>
  </ds:schemaRefs>
</ds:datastoreItem>
</file>

<file path=customXml/itemProps5.xml><?xml version="1.0" encoding="utf-8"?>
<ds:datastoreItem xmlns:ds="http://schemas.openxmlformats.org/officeDocument/2006/customXml" ds:itemID="{69D93283-C156-4CCD-ACFB-064901A54AC8}">
  <ds:schemaRefs>
    <ds:schemaRef ds:uri="office.server.policy"/>
  </ds:schemaRefs>
</ds:datastoreItem>
</file>

<file path=customXml/itemProps6.xml><?xml version="1.0" encoding="utf-8"?>
<ds:datastoreItem xmlns:ds="http://schemas.openxmlformats.org/officeDocument/2006/customXml" ds:itemID="{DE7D1799-D6E5-4CEA-A122-E7410B00F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15aba36-08d7-4b96-83b4-55388d4e5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14DBE4D-E3C0-4716-B1FF-770067AD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1957</Words>
  <Characters>11939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Implementering af eud reform</vt:lpstr>
    </vt:vector>
  </TitlesOfParts>
  <Company>Exformatics A/S</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Implementering af eud reform</dc:title>
  <dc:creator>Morten Smistrup</dc:creator>
  <cp:lastModifiedBy>mml</cp:lastModifiedBy>
  <cp:revision>2</cp:revision>
  <cp:lastPrinted>2007-04-27T08:02:00Z</cp:lastPrinted>
  <dcterms:created xsi:type="dcterms:W3CDTF">2017-05-17T13:50:00Z</dcterms:created>
  <dcterms:modified xsi:type="dcterms:W3CDTF">2017-05-17T13:50:00Z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formaticsSPSURL">
    <vt:lpwstr>http://sagssystem</vt:lpwstr>
  </property>
  <property fmtid="{D5CDD505-2E9C-101B-9397-08002B2CF9AE}" pid="3" name="DL_Id">
    <vt:lpwstr>50169</vt:lpwstr>
  </property>
  <property fmtid="{D5CDD505-2E9C-101B-9397-08002B2CF9AE}" pid="4" name="DL_CreatedBy">
    <vt:lpwstr>LO\MSM</vt:lpwstr>
  </property>
  <property fmtid="{D5CDD505-2E9C-101B-9397-08002B2CF9AE}" pid="5" name="DL_Created">
    <vt:lpwstr>2014-02-28T11:21:13</vt:lpwstr>
  </property>
  <property fmtid="{D5CDD505-2E9C-101B-9397-08002B2CF9AE}" pid="6" name="DL_ModifiedBy">
    <vt:lpwstr>LO\MSM</vt:lpwstr>
  </property>
  <property fmtid="{D5CDD505-2E9C-101B-9397-08002B2CF9AE}" pid="7" name="DL_Modified">
    <vt:lpwstr>2014-02-28T11:21:13</vt:lpwstr>
  </property>
  <property fmtid="{D5CDD505-2E9C-101B-9397-08002B2CF9AE}" pid="8" name="DL_FolderParams">
    <vt:lpwstr>14/14Q1/14-689</vt:lpwstr>
  </property>
  <property fmtid="{D5CDD505-2E9C-101B-9397-08002B2CF9AE}" pid="9" name="LO_Sagsnr">
    <vt:lpwstr>14-689</vt:lpwstr>
  </property>
  <property fmtid="{D5CDD505-2E9C-101B-9397-08002B2CF9AE}" pid="10" name="DL_Title">
    <vt:lpwstr>Implementering af eud reform</vt:lpwstr>
  </property>
  <property fmtid="{D5CDD505-2E9C-101B-9397-08002B2CF9AE}" pid="11" name="DL_CaseState">
    <vt:lpwstr>0</vt:lpwstr>
  </property>
  <property fmtid="{D5CDD505-2E9C-101B-9397-08002B2CF9AE}" pid="12" name="DL_ProjectID">
    <vt:lpwstr>386 -11-0084</vt:lpwstr>
  </property>
  <property fmtid="{D5CDD505-2E9C-101B-9397-08002B2CF9AE}" pid="13" name="DL_Department">
    <vt:lpwstr>Arbejdsret og EU</vt:lpwstr>
  </property>
  <property fmtid="{D5CDD505-2E9C-101B-9397-08002B2CF9AE}" pid="14" name="DL_sAMAccountNameForeign">
    <vt:lpwstr>MSM</vt:lpwstr>
  </property>
  <property fmtid="{D5CDD505-2E9C-101B-9397-08002B2CF9AE}" pid="15" name="DL_Info">
    <vt:lpwstr>NVD</vt:lpwstr>
  </property>
  <property fmtid="{D5CDD505-2E9C-101B-9397-08002B2CF9AE}" pid="16" name="LO_PCaseState">
    <vt:lpwstr>0</vt:lpwstr>
  </property>
  <property fmtid="{D5CDD505-2E9C-101B-9397-08002B2CF9AE}" pid="17" name="DL_DueDate">
    <vt:lpwstr>2006-12-07T00:00:00</vt:lpwstr>
  </property>
  <property fmtid="{D5CDD505-2E9C-101B-9397-08002B2CF9AE}" pid="18" name="BPM_Body">
    <vt:lpwstr/>
  </property>
  <property fmtid="{D5CDD505-2E9C-101B-9397-08002B2CF9AE}" pid="19" name="DL_Project">
    <vt:lpwstr>2290</vt:lpwstr>
  </property>
  <property fmtid="{D5CDD505-2E9C-101B-9397-08002B2CF9AE}" pid="20" name="LO_PCaseProtected">
    <vt:lpwstr>0</vt:lpwstr>
  </property>
  <property fmtid="{D5CDD505-2E9C-101B-9397-08002B2CF9AE}" pid="21" name="LO_SecurityGroup">
    <vt:lpwstr>0</vt:lpwstr>
  </property>
  <property fmtid="{D5CDD505-2E9C-101B-9397-08002B2CF9AE}" pid="22" name="LO_PSagsTypeDecode">
    <vt:lpwstr>Aftale/forhandlinger</vt:lpwstr>
  </property>
  <property fmtid="{D5CDD505-2E9C-101B-9397-08002B2CF9AE}" pid="23" name="LOSagsnr">
    <vt:lpwstr>14-689</vt:lpwstr>
  </property>
  <property fmtid="{D5CDD505-2E9C-101B-9397-08002B2CF9AE}" pid="24" name="Afdeling">
    <vt:lpwstr>Arbejdsmarked og Uddannelse</vt:lpwstr>
  </property>
  <property fmtid="{D5CDD505-2E9C-101B-9397-08002B2CF9AE}" pid="25" name="DL_EntityNameForeign">
    <vt:lpwstr>LO_PCase</vt:lpwstr>
  </property>
  <property fmtid="{D5CDD505-2E9C-101B-9397-08002B2CF9AE}" pid="26" name="DL_EntityId">
    <vt:lpwstr>21675</vt:lpwstr>
  </property>
  <property fmtid="{D5CDD505-2E9C-101B-9397-08002B2CF9AE}" pid="27" name="DL_StandardLetter">
    <vt:lpwstr>346</vt:lpwstr>
  </property>
  <property fmtid="{D5CDD505-2E9C-101B-9397-08002B2CF9AE}" pid="28" name="Company">
    <vt:lpwstr> </vt:lpwstr>
  </property>
  <property fmtid="{D5CDD505-2E9C-101B-9397-08002B2CF9AE}" pid="29" name="Street">
    <vt:lpwstr> </vt:lpwstr>
  </property>
  <property fmtid="{D5CDD505-2E9C-101B-9397-08002B2CF9AE}" pid="30" name="ZIP">
    <vt:lpwstr> </vt:lpwstr>
  </property>
  <property fmtid="{D5CDD505-2E9C-101B-9397-08002B2CF9AE}" pid="31" name="City">
    <vt:lpwstr> </vt:lpwstr>
  </property>
  <property fmtid="{D5CDD505-2E9C-101B-9397-08002B2CF9AE}" pid="32" name="Person">
    <vt:lpwstr> </vt:lpwstr>
  </property>
  <property fmtid="{D5CDD505-2E9C-101B-9397-08002B2CF9AE}" pid="33" name="LODocType">
    <vt:lpwstr>7</vt:lpwstr>
  </property>
  <property fmtid="{D5CDD505-2E9C-101B-9397-08002B2CF9AE}" pid="34" name="DocType">
    <vt:lpwstr>Brev</vt:lpwstr>
  </property>
  <property fmtid="{D5CDD505-2E9C-101B-9397-08002B2CF9AE}" pid="35" name="EntityNameForeign">
    <vt:lpwstr>DL_Activities</vt:lpwstr>
  </property>
  <property fmtid="{D5CDD505-2E9C-101B-9397-08002B2CF9AE}" pid="36" name="EntityId">
    <vt:lpwstr>50169</vt:lpwstr>
  </property>
  <property fmtid="{D5CDD505-2E9C-101B-9397-08002B2CF9AE}" pid="37" name="fKontor">
    <vt:lpwstr>Test</vt:lpwstr>
  </property>
  <property fmtid="{D5CDD505-2E9C-101B-9397-08002B2CF9AE}" pid="38" name="DL_AuthorInitials">
    <vt:lpwstr>MSM</vt:lpwstr>
  </property>
  <property fmtid="{D5CDD505-2E9C-101B-9397-08002B2CF9AE}" pid="39" name="DL_AuthorName">
    <vt:lpwstr>Morten Smistrup</vt:lpwstr>
  </property>
  <property fmtid="{D5CDD505-2E9C-101B-9397-08002B2CF9AE}" pid="40" name="DL_AuthorDepartment">
    <vt:lpwstr>Arbejdsmarked og Uddannelse</vt:lpwstr>
  </property>
  <property fmtid="{D5CDD505-2E9C-101B-9397-08002B2CF9AE}" pid="41" name="DL_AuthorPhone">
    <vt:lpwstr>6122</vt:lpwstr>
  </property>
  <property fmtid="{D5CDD505-2E9C-101B-9397-08002B2CF9AE}" pid="42" name="DL_AuthorEmail">
    <vt:lpwstr>MSM@lo.dk</vt:lpwstr>
  </property>
  <property fmtid="{D5CDD505-2E9C-101B-9397-08002B2CF9AE}" pid="43" name="DL_AuthorTitle">
    <vt:lpwstr>Konsulent</vt:lpwstr>
  </property>
  <property fmtid="{D5CDD505-2E9C-101B-9397-08002B2CF9AE}" pid="44" name="DL_AuthorMobile">
    <vt:lpwstr>23612563</vt:lpwstr>
  </property>
  <property fmtid="{D5CDD505-2E9C-101B-9397-08002B2CF9AE}" pid="45" name="DL_AuthorIcon">
    <vt:lpwstr>http://www.exformatics.com/Billeder/logo.jpg</vt:lpwstr>
  </property>
  <property fmtid="{D5CDD505-2E9C-101B-9397-08002B2CF9AE}" pid="46" name="Forfatter">
    <vt:lpwstr>MSM</vt:lpwstr>
  </property>
  <property fmtid="{D5CDD505-2E9C-101B-9397-08002B2CF9AE}" pid="47" name="DL_FullName">
    <vt:lpwstr>Morten Smistrup</vt:lpwstr>
  </property>
  <property fmtid="{D5CDD505-2E9C-101B-9397-08002B2CF9AE}" pid="48" name="DL_Responsible">
    <vt:lpwstr>MSM</vt:lpwstr>
  </property>
  <property fmtid="{D5CDD505-2E9C-101B-9397-08002B2CF9AE}" pid="49" name="DL_CreatedByDecode">
    <vt:lpwstr>MSM</vt:lpwstr>
  </property>
  <property fmtid="{D5CDD505-2E9C-101B-9397-08002B2CF9AE}" pid="50" name="DL_CreatedByDecode1">
    <vt:lpwstr>Morten Smistrup</vt:lpwstr>
  </property>
  <property fmtid="{D5CDD505-2E9C-101B-9397-08002B2CF9AE}" pid="51" name="DL_WFCaseType">
    <vt:lpwstr>36</vt:lpwstr>
  </property>
  <property fmtid="{D5CDD505-2E9C-101B-9397-08002B2CF9AE}" pid="52" name="ContentTypeId">
    <vt:lpwstr>0x01010E00F841405F4FC6884DB5A53F6E003099D10094E96897EEC00A43ADEADC59BCB8F040</vt:lpwstr>
  </property>
</Properties>
</file>